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22" w:rsidRPr="00E37CB1" w:rsidRDefault="00F32B22" w:rsidP="00F45B72">
      <w:pPr>
        <w:jc w:val="center"/>
        <w:rPr>
          <w:lang w:val="fr-FR"/>
        </w:rPr>
      </w:pPr>
      <w:bookmarkStart w:id="0" w:name="_GoBack"/>
      <w:bookmarkEnd w:id="0"/>
    </w:p>
    <w:p w:rsidR="00F32B22" w:rsidRDefault="00F32B22" w:rsidP="00F32B22">
      <w:pPr>
        <w:jc w:val="center"/>
        <w:rPr>
          <w:lang w:val="fr-FR"/>
        </w:rPr>
      </w:pPr>
    </w:p>
    <w:p w:rsidR="00F45B72" w:rsidRPr="00E37CB1" w:rsidRDefault="00F45B7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tabs>
          <w:tab w:val="left" w:pos="5529"/>
        </w:tabs>
        <w:jc w:val="center"/>
        <w:rPr>
          <w:lang w:val="fr-FR"/>
        </w:rPr>
      </w:pPr>
      <w:r>
        <w:rPr>
          <w:lang w:val="fr-FR"/>
        </w:rPr>
        <w:t>QUATRIÈME SECTION</w:t>
      </w: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F45B72" w:rsidRDefault="00F32B22" w:rsidP="00F45B72">
      <w:pPr>
        <w:jc w:val="center"/>
        <w:rPr>
          <w:b/>
          <w:lang w:val="fr-FR"/>
        </w:rPr>
      </w:pPr>
      <w:r w:rsidRPr="00F45B72">
        <w:rPr>
          <w:b/>
          <w:lang w:val="fr-FR"/>
        </w:rPr>
        <w:t>AFFAIRE PELLITTERI ET LUPO c. ITALIE</w:t>
      </w: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i/>
          <w:lang w:val="fr-FR"/>
        </w:rPr>
      </w:pPr>
      <w:r w:rsidRPr="00E37CB1">
        <w:rPr>
          <w:i/>
          <w:lang w:val="fr-FR"/>
        </w:rPr>
        <w:t>(Requête n</w:t>
      </w:r>
      <w:r w:rsidRPr="00E37CB1">
        <w:rPr>
          <w:i/>
          <w:vertAlign w:val="superscript"/>
          <w:lang w:val="fr-FR"/>
        </w:rPr>
        <w:t>o</w:t>
      </w:r>
      <w:r w:rsidRPr="00E37CB1">
        <w:rPr>
          <w:i/>
          <w:lang w:val="fr-FR"/>
        </w:rPr>
        <w:t xml:space="preserve"> </w:t>
      </w:r>
      <w:r>
        <w:rPr>
          <w:i/>
          <w:lang w:val="fr-FR"/>
        </w:rPr>
        <w:t>50825/06</w:t>
      </w:r>
      <w:r w:rsidRPr="00E37CB1">
        <w:rPr>
          <w:i/>
          <w:lang w:val="fr-FR"/>
        </w:rPr>
        <w:t>)</w:t>
      </w: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Default="00F32B22" w:rsidP="00F32B22">
      <w:pPr>
        <w:jc w:val="center"/>
        <w:rPr>
          <w:lang w:val="fr-FR"/>
        </w:rPr>
      </w:pPr>
    </w:p>
    <w:p w:rsidR="00F45B72" w:rsidRDefault="00F45B72" w:rsidP="00F32B22">
      <w:pPr>
        <w:jc w:val="center"/>
        <w:rPr>
          <w:lang w:val="fr-FR"/>
        </w:rPr>
      </w:pPr>
    </w:p>
    <w:p w:rsidR="00F45B72" w:rsidRDefault="00F45B72" w:rsidP="00F32B22">
      <w:pPr>
        <w:jc w:val="center"/>
        <w:rPr>
          <w:lang w:val="fr-FR"/>
        </w:rPr>
      </w:pPr>
    </w:p>
    <w:p w:rsidR="00F45B72" w:rsidRPr="00E37CB1" w:rsidRDefault="00F45B7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outlineLvl w:val="0"/>
        <w:rPr>
          <w:lang w:val="fr-FR"/>
        </w:rPr>
      </w:pPr>
      <w:r w:rsidRPr="00E37CB1">
        <w:rPr>
          <w:lang w:val="fr-FR"/>
        </w:rPr>
        <w:t>ARRÊT</w:t>
      </w: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i/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outlineLvl w:val="0"/>
        <w:rPr>
          <w:lang w:val="fr-FR"/>
        </w:rPr>
      </w:pPr>
      <w:r w:rsidRPr="00E37CB1">
        <w:rPr>
          <w:lang w:val="fr-FR"/>
        </w:rPr>
        <w:t>STRASBOURG</w:t>
      </w:r>
    </w:p>
    <w:p w:rsidR="00F32B22" w:rsidRPr="00E37CB1" w:rsidRDefault="00F32B2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  <w:r>
        <w:rPr>
          <w:lang w:val="fr-FR"/>
        </w:rPr>
        <w:t>6 octobre 2015</w:t>
      </w:r>
    </w:p>
    <w:p w:rsidR="00F32B22" w:rsidRDefault="00F32B22" w:rsidP="00F32B22">
      <w:pPr>
        <w:jc w:val="center"/>
        <w:rPr>
          <w:lang w:val="fr-FR"/>
        </w:rPr>
      </w:pPr>
    </w:p>
    <w:p w:rsidR="00F45B72" w:rsidRPr="00E37CB1" w:rsidRDefault="00F45B72" w:rsidP="00F32B22">
      <w:pPr>
        <w:jc w:val="center"/>
        <w:rPr>
          <w:lang w:val="fr-FR"/>
        </w:rPr>
      </w:pPr>
    </w:p>
    <w:p w:rsidR="00F32B22" w:rsidRPr="00E37CB1" w:rsidRDefault="00F32B22" w:rsidP="00F32B22">
      <w:pPr>
        <w:jc w:val="center"/>
        <w:rPr>
          <w:lang w:val="fr-FR"/>
        </w:rPr>
      </w:pPr>
    </w:p>
    <w:p w:rsidR="008C0F5E" w:rsidRPr="00F45B72" w:rsidRDefault="00F32B22" w:rsidP="00F45B72">
      <w:pPr>
        <w:jc w:val="left"/>
        <w:rPr>
          <w:i/>
          <w:lang w:val="fr-FR"/>
        </w:rPr>
      </w:pPr>
      <w:r w:rsidRPr="00E37CB1">
        <w:rPr>
          <w:i/>
          <w:sz w:val="22"/>
          <w:lang w:val="fr-FR"/>
        </w:rPr>
        <w:t>Cet arrêt est définitif. Il peut subir des retouches de forme.</w:t>
      </w:r>
    </w:p>
    <w:p w:rsidR="008C0F5E" w:rsidRDefault="008C0F5E" w:rsidP="00F32B22">
      <w:pPr>
        <w:rPr>
          <w:lang w:val="fr-FR"/>
        </w:rPr>
        <w:sectPr w:rsidR="008C0F5E" w:rsidSect="00F5432B">
          <w:headerReference w:type="default" r:id="rId11"/>
          <w:footerReference w:type="default" r:id="rId12"/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F32B22" w:rsidRPr="00E37CB1" w:rsidRDefault="00F32B22" w:rsidP="00F32B22">
      <w:pPr>
        <w:pStyle w:val="JuCase"/>
        <w:rPr>
          <w:lang w:val="fr-FR"/>
        </w:rPr>
      </w:pPr>
      <w:r w:rsidRPr="00E37CB1">
        <w:rPr>
          <w:lang w:val="fr-FR"/>
        </w:rPr>
        <w:lastRenderedPageBreak/>
        <w:t>En l</w:t>
      </w:r>
      <w:r w:rsidR="008D2733">
        <w:rPr>
          <w:lang w:val="fr-FR"/>
        </w:rPr>
        <w:t>’</w:t>
      </w:r>
      <w:r w:rsidRPr="00E37CB1">
        <w:rPr>
          <w:lang w:val="fr-FR"/>
        </w:rPr>
        <w:t xml:space="preserve">affaire </w:t>
      </w:r>
      <w:proofErr w:type="spellStart"/>
      <w:r>
        <w:rPr>
          <w:lang w:val="fr-FR"/>
        </w:rPr>
        <w:t>Pellitteri</w:t>
      </w:r>
      <w:proofErr w:type="spellEnd"/>
      <w:r>
        <w:rPr>
          <w:lang w:val="fr-FR"/>
        </w:rPr>
        <w:t xml:space="preserve"> et Lupo c. Italie</w:t>
      </w:r>
      <w:r w:rsidRPr="00E37CB1">
        <w:rPr>
          <w:lang w:val="fr-FR"/>
        </w:rPr>
        <w:t>,</w:t>
      </w:r>
    </w:p>
    <w:p w:rsidR="00F32B22" w:rsidRPr="005E37C6" w:rsidRDefault="00F32B22" w:rsidP="00F32B22">
      <w:pPr>
        <w:pStyle w:val="ECHRPara"/>
        <w:rPr>
          <w:lang w:val="fr-FR"/>
        </w:rPr>
      </w:pPr>
      <w:r w:rsidRPr="005E37C6">
        <w:rPr>
          <w:lang w:val="fr-FR"/>
        </w:rPr>
        <w:t>La Cour européenne des droits de l</w:t>
      </w:r>
      <w:r w:rsidR="008D2733">
        <w:rPr>
          <w:lang w:val="fr-FR"/>
        </w:rPr>
        <w:t>’</w:t>
      </w:r>
      <w:r w:rsidRPr="005E37C6">
        <w:rPr>
          <w:lang w:val="fr-FR"/>
        </w:rPr>
        <w:t>homme (</w:t>
      </w:r>
      <w:r>
        <w:rPr>
          <w:lang w:val="fr-FR"/>
        </w:rPr>
        <w:t>quatrième section</w:t>
      </w:r>
      <w:r w:rsidRPr="005E37C6">
        <w:rPr>
          <w:lang w:val="fr-FR"/>
        </w:rPr>
        <w:t>), siégeant en un comité composé de :</w:t>
      </w:r>
    </w:p>
    <w:p w:rsidR="00F32B22" w:rsidRPr="005E37C6" w:rsidRDefault="00F32B22" w:rsidP="00F32B22">
      <w:pPr>
        <w:pStyle w:val="ECHRDecisionBody"/>
        <w:rPr>
          <w:lang w:val="fr-FR"/>
        </w:rPr>
      </w:pPr>
      <w:r w:rsidRPr="001D3CFE">
        <w:rPr>
          <w:lang w:val="fr-FR"/>
        </w:rPr>
        <w:tab/>
      </w:r>
      <w:proofErr w:type="spellStart"/>
      <w:r w:rsidRPr="001D3CFE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1D3CFE">
        <w:rPr>
          <w:lang w:val="fr-FR"/>
        </w:rPr>
        <w:t>Bianku</w:t>
      </w:r>
      <w:proofErr w:type="spellEnd"/>
      <w:r>
        <w:rPr>
          <w:lang w:val="fr-FR"/>
        </w:rPr>
        <w:t>,</w:t>
      </w:r>
      <w:r w:rsidRPr="001D3CFE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1D3CFE">
        <w:rPr>
          <w:lang w:val="fr-FR"/>
        </w:rPr>
        <w:tab/>
      </w:r>
      <w:proofErr w:type="spellStart"/>
      <w:r w:rsidRPr="001D3CFE">
        <w:rPr>
          <w:lang w:val="fr-FR"/>
        </w:rPr>
        <w:t>Nona</w:t>
      </w:r>
      <w:proofErr w:type="spellEnd"/>
      <w:r>
        <w:rPr>
          <w:lang w:val="fr-FR"/>
        </w:rPr>
        <w:t xml:space="preserve"> </w:t>
      </w:r>
      <w:proofErr w:type="spellStart"/>
      <w:r w:rsidRPr="001D3CFE">
        <w:rPr>
          <w:lang w:val="fr-FR"/>
        </w:rPr>
        <w:t>Tsotsoria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1D3CFE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1D3CFE">
        <w:rPr>
          <w:lang w:val="fr-FR"/>
        </w:rPr>
        <w:t>Mahoney</w:t>
      </w:r>
      <w:proofErr w:type="spellEnd"/>
      <w:r>
        <w:rPr>
          <w:lang w:val="fr-FR"/>
        </w:rPr>
        <w:t>,</w:t>
      </w:r>
      <w:r w:rsidRPr="001D3CFE">
        <w:rPr>
          <w:i/>
          <w:lang w:val="fr-FR"/>
        </w:rPr>
        <w:t xml:space="preserve"> juges</w:t>
      </w:r>
      <w:proofErr w:type="gramStart"/>
      <w:r w:rsidRPr="001D3CFE">
        <w:rPr>
          <w:i/>
          <w:lang w:val="fr-FR"/>
        </w:rPr>
        <w:t>,</w:t>
      </w:r>
      <w:proofErr w:type="gramEnd"/>
      <w:r w:rsidRPr="005E37C6">
        <w:rPr>
          <w:lang w:val="fr-FR"/>
        </w:rPr>
        <w:br/>
        <w:t xml:space="preserve">et de </w:t>
      </w:r>
      <w:proofErr w:type="spellStart"/>
      <w:r>
        <w:rPr>
          <w:lang w:val="fr-FR"/>
        </w:rPr>
        <w:t>Fatoş</w:t>
      </w:r>
      <w:proofErr w:type="spellEnd"/>
      <w:r w:rsidRPr="005E37C6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Pr="005E37C6">
        <w:rPr>
          <w:lang w:val="fr-FR"/>
        </w:rPr>
        <w:t xml:space="preserve">, </w:t>
      </w:r>
      <w:r w:rsidRPr="005E37C6">
        <w:rPr>
          <w:i/>
          <w:lang w:val="fr-FR"/>
        </w:rPr>
        <w:t>greffière adjointe</w:t>
      </w:r>
      <w:r w:rsidRPr="005E37C6">
        <w:rPr>
          <w:iCs/>
          <w:lang w:val="fr-FR"/>
        </w:rPr>
        <w:t xml:space="preserve"> </w:t>
      </w:r>
      <w:r w:rsidRPr="005E37C6">
        <w:rPr>
          <w:i/>
          <w:iCs/>
          <w:lang w:val="fr-FR"/>
        </w:rPr>
        <w:t>d</w:t>
      </w:r>
      <w:r w:rsidRPr="005E37C6">
        <w:rPr>
          <w:i/>
          <w:lang w:val="fr-FR"/>
        </w:rPr>
        <w:t>e section</w:t>
      </w:r>
      <w:r w:rsidRPr="005E37C6">
        <w:rPr>
          <w:lang w:val="fr-FR"/>
        </w:rPr>
        <w:t>,</w:t>
      </w:r>
    </w:p>
    <w:p w:rsidR="00F32B22" w:rsidRPr="005E37C6" w:rsidRDefault="00F32B22" w:rsidP="00F32B22">
      <w:pPr>
        <w:pStyle w:val="ECHRPara"/>
        <w:rPr>
          <w:lang w:val="fr-FR"/>
        </w:rPr>
      </w:pPr>
      <w:r w:rsidRPr="005E37C6">
        <w:rPr>
          <w:lang w:val="fr-FR"/>
        </w:rPr>
        <w:t xml:space="preserve">Après en avoir délibéré en chambre du conseil le </w:t>
      </w:r>
      <w:r>
        <w:rPr>
          <w:lang w:val="fr-FR"/>
        </w:rPr>
        <w:t>15 septembre 2015</w:t>
      </w:r>
      <w:r w:rsidRPr="005E37C6">
        <w:rPr>
          <w:lang w:val="fr-FR"/>
        </w:rPr>
        <w:t>,</w:t>
      </w:r>
    </w:p>
    <w:p w:rsidR="00F32B22" w:rsidRPr="005E37C6" w:rsidRDefault="00F32B22" w:rsidP="00F32B22">
      <w:pPr>
        <w:pStyle w:val="ECHRPara"/>
        <w:rPr>
          <w:lang w:val="fr-FR"/>
        </w:rPr>
      </w:pPr>
      <w:r w:rsidRPr="005E37C6">
        <w:rPr>
          <w:lang w:val="fr-FR"/>
        </w:rPr>
        <w:t>Rend l</w:t>
      </w:r>
      <w:r w:rsidR="008D2733">
        <w:rPr>
          <w:lang w:val="fr-FR"/>
        </w:rPr>
        <w:t>’</w:t>
      </w:r>
      <w:r w:rsidRPr="005E37C6">
        <w:rPr>
          <w:lang w:val="fr-FR"/>
        </w:rPr>
        <w:t>arrêt que voici, adopté à cette date :</w:t>
      </w:r>
    </w:p>
    <w:p w:rsidR="00F32B22" w:rsidRPr="005E37C6" w:rsidRDefault="00F32B22" w:rsidP="00F32B22">
      <w:pPr>
        <w:pStyle w:val="ECHRTitle1"/>
        <w:rPr>
          <w:lang w:val="fr-FR"/>
        </w:rPr>
      </w:pPr>
      <w:r w:rsidRPr="005E37C6">
        <w:rPr>
          <w:lang w:val="fr-FR"/>
        </w:rPr>
        <w:t>PROCÉDURE</w:t>
      </w:r>
    </w:p>
    <w:p w:rsidR="00F32B22" w:rsidRPr="005E37C6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1</w:t>
      </w:r>
      <w:r>
        <w:rPr>
          <w:lang w:val="fr-FR"/>
        </w:rPr>
        <w:fldChar w:fldCharType="end"/>
      </w:r>
      <w:r w:rsidRPr="005E37C6">
        <w:rPr>
          <w:lang w:val="fr-FR"/>
        </w:rPr>
        <w:t>.  À l</w:t>
      </w:r>
      <w:r w:rsidR="008D2733">
        <w:rPr>
          <w:lang w:val="fr-FR"/>
        </w:rPr>
        <w:t>’</w:t>
      </w:r>
      <w:r w:rsidRPr="005E37C6">
        <w:rPr>
          <w:lang w:val="fr-FR"/>
        </w:rPr>
        <w:t>origine de l</w:t>
      </w:r>
      <w:r w:rsidR="008D2733">
        <w:rPr>
          <w:lang w:val="fr-FR"/>
        </w:rPr>
        <w:t>’</w:t>
      </w:r>
      <w:r w:rsidRPr="005E37C6">
        <w:rPr>
          <w:lang w:val="fr-FR"/>
        </w:rPr>
        <w:t>affaire se trouve une requête (n</w:t>
      </w:r>
      <w:r w:rsidRPr="00DF7AC1">
        <w:rPr>
          <w:vertAlign w:val="superscript"/>
          <w:lang w:val="fr-FR"/>
        </w:rPr>
        <w:t>o</w:t>
      </w:r>
      <w:r w:rsidRPr="005E37C6">
        <w:rPr>
          <w:lang w:val="fr-FR"/>
        </w:rPr>
        <w:t xml:space="preserve"> </w:t>
      </w:r>
      <w:r>
        <w:rPr>
          <w:lang w:val="fr-FR"/>
        </w:rPr>
        <w:t>50825/06</w:t>
      </w:r>
      <w:r w:rsidRPr="005E37C6">
        <w:rPr>
          <w:lang w:val="fr-FR"/>
        </w:rPr>
        <w:t xml:space="preserve">) dirigée contre </w:t>
      </w:r>
      <w:r>
        <w:rPr>
          <w:lang w:val="fr-FR"/>
        </w:rPr>
        <w:t>la République italienne</w:t>
      </w:r>
      <w:r w:rsidRPr="005E37C6">
        <w:rPr>
          <w:lang w:val="fr-FR"/>
        </w:rPr>
        <w:t xml:space="preserve"> et dont </w:t>
      </w:r>
      <w:r>
        <w:rPr>
          <w:lang w:val="fr-FR"/>
        </w:rPr>
        <w:t>six</w:t>
      </w:r>
      <w:r w:rsidRPr="005E37C6">
        <w:rPr>
          <w:lang w:val="fr-FR"/>
        </w:rPr>
        <w:t xml:space="preserve"> ressortissants de cet État, MM.</w:t>
      </w:r>
      <w:r>
        <w:rPr>
          <w:lang w:val="fr-FR"/>
        </w:rPr>
        <w:t> </w:t>
      </w:r>
      <w:r w:rsidRPr="008A7C9A">
        <w:rPr>
          <w:lang w:val="fr-FR"/>
        </w:rPr>
        <w:t xml:space="preserve">Salvatore, Luigi, Pietro, Massimo </w:t>
      </w:r>
      <w:proofErr w:type="spellStart"/>
      <w:r w:rsidRPr="008A7C9A">
        <w:rPr>
          <w:lang w:val="fr-FR"/>
        </w:rPr>
        <w:t>Pellitteri</w:t>
      </w:r>
      <w:proofErr w:type="spellEnd"/>
      <w:r w:rsidRPr="008A7C9A">
        <w:rPr>
          <w:lang w:val="fr-FR"/>
        </w:rPr>
        <w:t xml:space="preserve"> et M</w:t>
      </w:r>
      <w:r w:rsidRPr="008A7C9A">
        <w:rPr>
          <w:vertAlign w:val="superscript"/>
          <w:lang w:val="fr-FR"/>
        </w:rPr>
        <w:t>es</w:t>
      </w:r>
      <w:r w:rsidRPr="008A7C9A">
        <w:rPr>
          <w:lang w:val="fr-FR"/>
        </w:rPr>
        <w:t> </w:t>
      </w:r>
      <w:proofErr w:type="spellStart"/>
      <w:r w:rsidRPr="008A7C9A">
        <w:rPr>
          <w:lang w:val="fr-FR"/>
        </w:rPr>
        <w:t>Erina</w:t>
      </w:r>
      <w:proofErr w:type="spellEnd"/>
      <w:r w:rsidRPr="008A7C9A">
        <w:rPr>
          <w:lang w:val="fr-FR"/>
        </w:rPr>
        <w:t xml:space="preserve"> </w:t>
      </w:r>
      <w:proofErr w:type="spellStart"/>
      <w:r w:rsidRPr="008A7C9A">
        <w:rPr>
          <w:lang w:val="fr-FR"/>
        </w:rPr>
        <w:t>Pellitteri</w:t>
      </w:r>
      <w:proofErr w:type="spellEnd"/>
      <w:r w:rsidRPr="008A7C9A">
        <w:rPr>
          <w:lang w:val="fr-FR"/>
        </w:rPr>
        <w:t xml:space="preserve"> et Rita Lupo</w:t>
      </w:r>
      <w:r w:rsidRPr="005E37C6">
        <w:rPr>
          <w:lang w:val="fr-FR"/>
        </w:rPr>
        <w:t xml:space="preserve"> (« les requérants »), ont saisi la Cour le </w:t>
      </w:r>
      <w:r>
        <w:rPr>
          <w:lang w:val="fr-FR"/>
        </w:rPr>
        <w:t>5 décembre 2006</w:t>
      </w:r>
      <w:r w:rsidRPr="005E37C6">
        <w:rPr>
          <w:lang w:val="fr-FR"/>
        </w:rPr>
        <w:t xml:space="preserve"> en vertu de l</w:t>
      </w:r>
      <w:r w:rsidR="008D2733">
        <w:rPr>
          <w:lang w:val="fr-FR"/>
        </w:rPr>
        <w:t>’</w:t>
      </w:r>
      <w:r w:rsidRPr="005E37C6">
        <w:rPr>
          <w:lang w:val="fr-FR"/>
        </w:rPr>
        <w:t>article 34 de la Convention de sauvegarde des droits de l</w:t>
      </w:r>
      <w:r w:rsidR="008D2733">
        <w:rPr>
          <w:lang w:val="fr-FR"/>
        </w:rPr>
        <w:t>’</w:t>
      </w:r>
      <w:r w:rsidRPr="005E37C6">
        <w:rPr>
          <w:lang w:val="fr-FR"/>
        </w:rPr>
        <w:t>homme et des libertés fondamentales (« la Convention »).</w:t>
      </w:r>
    </w:p>
    <w:p w:rsidR="00F32B22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2</w:t>
      </w:r>
      <w:r>
        <w:rPr>
          <w:lang w:val="fr-FR"/>
        </w:rPr>
        <w:fldChar w:fldCharType="end"/>
      </w:r>
      <w:r w:rsidRPr="005E37C6">
        <w:rPr>
          <w:lang w:val="fr-FR"/>
        </w:rPr>
        <w:t>.  Les requérants ont été représentés par M</w:t>
      </w:r>
      <w:r w:rsidRPr="005E37C6">
        <w:rPr>
          <w:vertAlign w:val="superscript"/>
          <w:lang w:val="fr-FR"/>
        </w:rPr>
        <w:t>e</w:t>
      </w:r>
      <w:r w:rsidRPr="005E37C6">
        <w:rPr>
          <w:lang w:val="fr-FR"/>
        </w:rPr>
        <w:t> </w:t>
      </w:r>
      <w:r>
        <w:rPr>
          <w:lang w:val="fr-FR"/>
        </w:rPr>
        <w:t>M.</w:t>
      </w:r>
      <w:r w:rsidRPr="005E37C6">
        <w:rPr>
          <w:lang w:val="fr-FR"/>
        </w:rPr>
        <w:t xml:space="preserve"> </w:t>
      </w:r>
      <w:proofErr w:type="spellStart"/>
      <w:r>
        <w:rPr>
          <w:lang w:val="fr-FR"/>
        </w:rPr>
        <w:t>Pellitteri</w:t>
      </w:r>
      <w:proofErr w:type="spellEnd"/>
      <w:r w:rsidRPr="005E37C6">
        <w:rPr>
          <w:lang w:val="fr-FR"/>
        </w:rPr>
        <w:t xml:space="preserve">, avocat à </w:t>
      </w:r>
      <w:r>
        <w:rPr>
          <w:lang w:val="fr-FR"/>
        </w:rPr>
        <w:t>Agrigente</w:t>
      </w:r>
      <w:r w:rsidRPr="005E37C6">
        <w:rPr>
          <w:lang w:val="fr-FR"/>
        </w:rPr>
        <w:t xml:space="preserve">. </w:t>
      </w:r>
      <w:r w:rsidRPr="002B4E5D">
        <w:rPr>
          <w:lang w:val="fr-FR"/>
        </w:rPr>
        <w:t xml:space="preserve">Le gouvernement </w:t>
      </w:r>
      <w:r>
        <w:rPr>
          <w:lang w:val="fr-FR"/>
        </w:rPr>
        <w:t>italien</w:t>
      </w:r>
      <w:r w:rsidRPr="002B4E5D">
        <w:rPr>
          <w:lang w:val="fr-FR"/>
        </w:rPr>
        <w:t xml:space="preserve"> (« le Gouvernement ») </w:t>
      </w:r>
      <w:r w:rsidRPr="005E37C6">
        <w:rPr>
          <w:lang w:val="fr-FR"/>
        </w:rPr>
        <w:t xml:space="preserve">a été représenté par son agent, </w:t>
      </w:r>
      <w:r w:rsidRPr="009C4997">
        <w:rPr>
          <w:color w:val="000000"/>
          <w:lang w:val="fr-FR"/>
        </w:rPr>
        <w:t>M</w:t>
      </w:r>
      <w:r w:rsidRPr="009C4997">
        <w:rPr>
          <w:color w:val="000000"/>
          <w:vertAlign w:val="superscript"/>
          <w:lang w:val="fr-FR"/>
        </w:rPr>
        <w:t>me</w:t>
      </w:r>
      <w:r>
        <w:rPr>
          <w:color w:val="000000"/>
          <w:lang w:val="fr-FR"/>
        </w:rPr>
        <w:t xml:space="preserve"> E. </w:t>
      </w:r>
      <w:proofErr w:type="spellStart"/>
      <w:r>
        <w:rPr>
          <w:color w:val="000000"/>
          <w:lang w:val="fr-FR"/>
        </w:rPr>
        <w:t>Spatafora</w:t>
      </w:r>
      <w:proofErr w:type="spellEnd"/>
      <w:r>
        <w:rPr>
          <w:color w:val="000000"/>
          <w:lang w:val="fr-FR"/>
        </w:rPr>
        <w:t xml:space="preserve">, </w:t>
      </w:r>
      <w:r w:rsidRPr="009C4997">
        <w:rPr>
          <w:color w:val="000000"/>
          <w:lang w:val="fr-FR"/>
        </w:rPr>
        <w:t xml:space="preserve">son ancien </w:t>
      </w:r>
      <w:proofErr w:type="spellStart"/>
      <w:r w:rsidRPr="009C4997">
        <w:rPr>
          <w:color w:val="000000"/>
          <w:lang w:val="fr-FR"/>
        </w:rPr>
        <w:t>coagent</w:t>
      </w:r>
      <w:proofErr w:type="spellEnd"/>
      <w:r w:rsidRPr="009C4997">
        <w:rPr>
          <w:color w:val="000000"/>
          <w:lang w:val="fr-FR"/>
        </w:rPr>
        <w:t xml:space="preserve"> M. </w:t>
      </w:r>
      <w:r>
        <w:rPr>
          <w:color w:val="000000"/>
          <w:lang w:val="fr-FR"/>
        </w:rPr>
        <w:t xml:space="preserve">F. </w:t>
      </w:r>
      <w:proofErr w:type="spellStart"/>
      <w:r>
        <w:rPr>
          <w:color w:val="000000"/>
          <w:lang w:val="fr-FR"/>
        </w:rPr>
        <w:t>Crisafulli</w:t>
      </w:r>
      <w:proofErr w:type="spellEnd"/>
      <w:r>
        <w:rPr>
          <w:color w:val="000000"/>
          <w:lang w:val="fr-FR"/>
        </w:rPr>
        <w:t xml:space="preserve">, et </w:t>
      </w:r>
      <w:r>
        <w:rPr>
          <w:lang w:val="fr-FR"/>
        </w:rPr>
        <w:t xml:space="preserve">sa </w:t>
      </w:r>
      <w:proofErr w:type="spellStart"/>
      <w:r>
        <w:rPr>
          <w:lang w:val="fr-FR"/>
        </w:rPr>
        <w:t>co</w:t>
      </w:r>
      <w:r w:rsidRPr="00EF56AE">
        <w:rPr>
          <w:lang w:val="fr-FR"/>
        </w:rPr>
        <w:t>agente</w:t>
      </w:r>
      <w:proofErr w:type="spellEnd"/>
      <w:r w:rsidRPr="00EF56AE">
        <w:rPr>
          <w:lang w:val="fr-FR"/>
        </w:rPr>
        <w:t xml:space="preserve"> M</w:t>
      </w:r>
      <w:r w:rsidRPr="00EF56AE">
        <w:rPr>
          <w:vertAlign w:val="superscript"/>
          <w:lang w:val="fr-FR"/>
        </w:rPr>
        <w:t>me </w:t>
      </w:r>
      <w:r w:rsidRPr="00EF56AE">
        <w:rPr>
          <w:lang w:val="fr-FR"/>
        </w:rPr>
        <w:t xml:space="preserve">P. </w:t>
      </w:r>
      <w:proofErr w:type="spellStart"/>
      <w:r w:rsidRPr="00EF56AE">
        <w:rPr>
          <w:lang w:val="fr-FR"/>
        </w:rPr>
        <w:t>Accardo</w:t>
      </w:r>
      <w:proofErr w:type="spellEnd"/>
      <w:r w:rsidRPr="009C4997">
        <w:rPr>
          <w:lang w:val="fr-FR"/>
        </w:rPr>
        <w:t>.</w:t>
      </w:r>
    </w:p>
    <w:p w:rsidR="00F32B22" w:rsidRPr="005E37C6" w:rsidRDefault="00F32B22" w:rsidP="00F32B22">
      <w:pPr>
        <w:pStyle w:val="ECHRPara"/>
        <w:rPr>
          <w:szCs w:val="24"/>
          <w:lang w:val="fr-FR" w:eastAsia="en-GB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3</w:t>
      </w:r>
      <w:r>
        <w:rPr>
          <w:lang w:val="fr-FR"/>
        </w:rPr>
        <w:fldChar w:fldCharType="end"/>
      </w:r>
      <w:r w:rsidRPr="005E37C6">
        <w:rPr>
          <w:lang w:val="fr-FR"/>
        </w:rPr>
        <w:t xml:space="preserve">.  Le </w:t>
      </w:r>
      <w:r>
        <w:rPr>
          <w:szCs w:val="24"/>
          <w:lang w:val="fr-FR"/>
        </w:rPr>
        <w:t>10 octobre 2007</w:t>
      </w:r>
      <w:r w:rsidRPr="005E37C6">
        <w:rPr>
          <w:lang w:val="fr-FR"/>
        </w:rPr>
        <w:t>, la requête a été communiquée au Gouvernement.</w:t>
      </w:r>
    </w:p>
    <w:p w:rsidR="00F32B22" w:rsidRPr="005E37C6" w:rsidRDefault="00F32B22" w:rsidP="00F32B22">
      <w:pPr>
        <w:pStyle w:val="ECHRTitle1"/>
        <w:tabs>
          <w:tab w:val="left" w:pos="5387"/>
        </w:tabs>
        <w:rPr>
          <w:lang w:val="fr-FR"/>
        </w:rPr>
      </w:pPr>
      <w:r w:rsidRPr="005E37C6">
        <w:rPr>
          <w:lang w:val="fr-FR"/>
        </w:rPr>
        <w:t>EN FAIT</w:t>
      </w:r>
    </w:p>
    <w:p w:rsidR="00F32B22" w:rsidRPr="005E37C6" w:rsidRDefault="00F32B22" w:rsidP="00F32B22">
      <w:pPr>
        <w:pStyle w:val="ECHRHeading1"/>
        <w:rPr>
          <w:lang w:val="fr-FR"/>
        </w:rPr>
      </w:pPr>
      <w:r w:rsidRPr="005E37C6">
        <w:rPr>
          <w:lang w:val="fr-FR"/>
        </w:rPr>
        <w:t>I.  LES CIRCONSTANCES DE L</w:t>
      </w:r>
      <w:r w:rsidR="008D2733">
        <w:rPr>
          <w:lang w:val="fr-FR"/>
        </w:rPr>
        <w:t>’</w:t>
      </w:r>
      <w:r w:rsidRPr="005E37C6">
        <w:rPr>
          <w:lang w:val="fr-FR"/>
        </w:rPr>
        <w:t>ESPÈCE</w:t>
      </w:r>
    </w:p>
    <w:p w:rsidR="00F32B22" w:rsidRPr="008A7C9A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4</w:t>
      </w:r>
      <w:r>
        <w:rPr>
          <w:lang w:val="fr-FR"/>
        </w:rPr>
        <w:fldChar w:fldCharType="end"/>
      </w:r>
      <w:r w:rsidRPr="005E37C6">
        <w:rPr>
          <w:lang w:val="fr-FR"/>
        </w:rPr>
        <w:t>.  </w:t>
      </w:r>
      <w:r>
        <w:rPr>
          <w:lang w:val="fr-FR"/>
        </w:rPr>
        <w:t>Les requérants</w:t>
      </w:r>
      <w:r w:rsidRPr="008A7C9A">
        <w:rPr>
          <w:lang w:val="fr-FR"/>
        </w:rPr>
        <w:t xml:space="preserve"> sont nés respectivement en 1925, 1961, 1959, 1967, 1964 et 1935 et résidant à San Giovanni Gemini.</w:t>
      </w:r>
    </w:p>
    <w:p w:rsidR="00F32B22" w:rsidRPr="00CA2B55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5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A2B55">
        <w:rPr>
          <w:lang w:val="fr-FR"/>
        </w:rPr>
        <w:t>Les faits de la cause, tels qu</w:t>
      </w:r>
      <w:r w:rsidR="008D2733">
        <w:rPr>
          <w:lang w:val="fr-FR"/>
        </w:rPr>
        <w:t>’</w:t>
      </w:r>
      <w:r w:rsidRPr="00CA2B55">
        <w:rPr>
          <w:lang w:val="fr-FR"/>
        </w:rPr>
        <w:t>ils ont été exposés par les requérants, peuvent se résumer comme suit.</w:t>
      </w:r>
    </w:p>
    <w:p w:rsidR="00F32B22" w:rsidRPr="00CA2B55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6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A2B55">
        <w:rPr>
          <w:lang w:val="fr-FR"/>
        </w:rPr>
        <w:t xml:space="preserve">Le premier requérant et M. </w:t>
      </w:r>
      <w:proofErr w:type="spellStart"/>
      <w:r w:rsidRPr="00CA2B55">
        <w:rPr>
          <w:lang w:val="fr-FR"/>
        </w:rPr>
        <w:t>Pellitteri</w:t>
      </w:r>
      <w:proofErr w:type="spellEnd"/>
      <w:r w:rsidRPr="00CA2B55">
        <w:rPr>
          <w:lang w:val="fr-FR"/>
        </w:rPr>
        <w:t xml:space="preserve"> Francesco, </w:t>
      </w:r>
      <w:r w:rsidRPr="00CA2B55">
        <w:rPr>
          <w:i/>
          <w:lang w:val="fr-FR"/>
        </w:rPr>
        <w:t>de cujus</w:t>
      </w:r>
      <w:r w:rsidRPr="00CA2B55">
        <w:rPr>
          <w:lang w:val="fr-FR"/>
        </w:rPr>
        <w:t xml:space="preserve"> des cinq derniers requérants, étaient propriétaires d</w:t>
      </w:r>
      <w:r w:rsidR="008D2733">
        <w:rPr>
          <w:lang w:val="fr-FR"/>
        </w:rPr>
        <w:t>’</w:t>
      </w:r>
      <w:r w:rsidRPr="00CA2B55">
        <w:rPr>
          <w:lang w:val="fr-FR"/>
        </w:rPr>
        <w:t>un terrain de 155 m² sis à San Giovanni Gemini et enregistré au cadastre feuille 9, parcelle 89/C3.</w:t>
      </w:r>
    </w:p>
    <w:p w:rsidR="00F32B22" w:rsidRPr="00CA2B55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7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A2B55">
        <w:rPr>
          <w:lang w:val="fr-FR"/>
        </w:rPr>
        <w:t>Par un arrêté du 24 avril 1997, la municipalité de San Giovanni Gemini autorisa l</w:t>
      </w:r>
      <w:r w:rsidR="008D2733">
        <w:rPr>
          <w:lang w:val="fr-FR"/>
        </w:rPr>
        <w:t>’</w:t>
      </w:r>
      <w:r w:rsidRPr="00CA2B55">
        <w:rPr>
          <w:lang w:val="fr-FR"/>
        </w:rPr>
        <w:t>occupation d</w:t>
      </w:r>
      <w:r w:rsidR="008D2733">
        <w:rPr>
          <w:lang w:val="fr-FR"/>
        </w:rPr>
        <w:t>’</w:t>
      </w:r>
      <w:r w:rsidRPr="00CA2B55">
        <w:rPr>
          <w:lang w:val="fr-FR"/>
        </w:rPr>
        <w:t>urgence d</w:t>
      </w:r>
      <w:r w:rsidR="008D2733">
        <w:rPr>
          <w:lang w:val="fr-FR"/>
        </w:rPr>
        <w:t>’</w:t>
      </w:r>
      <w:r w:rsidRPr="00CA2B55">
        <w:rPr>
          <w:lang w:val="fr-FR"/>
        </w:rPr>
        <w:t>une partie du terrain, à savoir 75,092 m², en vue de son expropriation, afin d</w:t>
      </w:r>
      <w:r w:rsidR="008D2733">
        <w:rPr>
          <w:lang w:val="fr-FR"/>
        </w:rPr>
        <w:t>’</w:t>
      </w:r>
      <w:r w:rsidRPr="00CA2B55">
        <w:rPr>
          <w:lang w:val="fr-FR"/>
        </w:rPr>
        <w:t>y aménager un espace public.</w:t>
      </w:r>
    </w:p>
    <w:p w:rsidR="00F45B72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8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A2B55">
        <w:rPr>
          <w:lang w:val="fr-FR"/>
        </w:rPr>
        <w:t>Le terrain fut occupé le 13 février 1998.</w:t>
      </w:r>
    </w:p>
    <w:p w:rsidR="00F32B22" w:rsidRPr="00CA2B55" w:rsidRDefault="00F32B22" w:rsidP="00F32B22">
      <w:pPr>
        <w:pStyle w:val="ECHRPara"/>
        <w:rPr>
          <w:lang w:val="fr-FR"/>
        </w:rPr>
      </w:pPr>
      <w:r>
        <w:rPr>
          <w:lang w:val="fr-FR"/>
        </w:rPr>
        <w:lastRenderedPageBreak/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9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A2B55">
        <w:rPr>
          <w:lang w:val="fr-FR"/>
        </w:rPr>
        <w:t xml:space="preserve">Entre-temps, le 5 janvier 1998, M. </w:t>
      </w:r>
      <w:proofErr w:type="spellStart"/>
      <w:r w:rsidRPr="00CA2B55">
        <w:rPr>
          <w:lang w:val="fr-FR"/>
        </w:rPr>
        <w:t>Pellitteri</w:t>
      </w:r>
      <w:proofErr w:type="spellEnd"/>
      <w:r w:rsidRPr="00CA2B55">
        <w:rPr>
          <w:lang w:val="fr-FR"/>
        </w:rPr>
        <w:t xml:space="preserve"> Francesco décéda et les cinq derniers requérants héritèrent sa quote-part du terrain.</w:t>
      </w:r>
    </w:p>
    <w:p w:rsidR="00F32B22" w:rsidRPr="00CA2B55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10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A2B55">
        <w:rPr>
          <w:lang w:val="fr-FR"/>
        </w:rPr>
        <w:t>Par un acte du 20 octobre 1999, les requérants introduisirent un recours en dommages-intérêts devant le tribunal d</w:t>
      </w:r>
      <w:r w:rsidR="008D2733">
        <w:rPr>
          <w:lang w:val="fr-FR"/>
        </w:rPr>
        <w:t>’</w:t>
      </w:r>
      <w:r w:rsidRPr="00CA2B55">
        <w:rPr>
          <w:lang w:val="fr-FR"/>
        </w:rPr>
        <w:t>Agrigente. Ils firent valoir que l</w:t>
      </w:r>
      <w:r w:rsidR="008D2733">
        <w:rPr>
          <w:lang w:val="fr-FR"/>
        </w:rPr>
        <w:t>’</w:t>
      </w:r>
      <w:r w:rsidRPr="00CA2B55">
        <w:rPr>
          <w:lang w:val="fr-FR"/>
        </w:rPr>
        <w:t xml:space="preserve">occupation de leur terrain était illégitime </w:t>
      </w:r>
      <w:r w:rsidRPr="00CA2B55">
        <w:rPr>
          <w:i/>
          <w:lang w:val="fr-FR"/>
        </w:rPr>
        <w:t xml:space="preserve">ab </w:t>
      </w:r>
      <w:proofErr w:type="spellStart"/>
      <w:r w:rsidRPr="00CA2B55">
        <w:rPr>
          <w:i/>
          <w:lang w:val="fr-FR"/>
        </w:rPr>
        <w:t>initio</w:t>
      </w:r>
      <w:proofErr w:type="spellEnd"/>
      <w:r w:rsidRPr="00CA2B55">
        <w:rPr>
          <w:i/>
          <w:lang w:val="fr-FR"/>
        </w:rPr>
        <w:t>,</w:t>
      </w:r>
      <w:r w:rsidRPr="00CA2B55">
        <w:rPr>
          <w:lang w:val="fr-FR"/>
        </w:rPr>
        <w:t xml:space="preserve"> en raison de l</w:t>
      </w:r>
      <w:r w:rsidR="008D2733">
        <w:rPr>
          <w:lang w:val="fr-FR"/>
        </w:rPr>
        <w:t>’</w:t>
      </w:r>
      <w:r w:rsidRPr="00CA2B55">
        <w:rPr>
          <w:lang w:val="fr-FR"/>
        </w:rPr>
        <w:t>irrégularité de l</w:t>
      </w:r>
      <w:r w:rsidR="008D2733">
        <w:rPr>
          <w:lang w:val="fr-FR"/>
        </w:rPr>
        <w:t>’</w:t>
      </w:r>
      <w:r w:rsidRPr="00CA2B55">
        <w:rPr>
          <w:lang w:val="fr-FR"/>
        </w:rPr>
        <w:t>arrêté du 24 avril 1997 et demandèrent un dédommagement égal à la valeur marchande du terrain.</w:t>
      </w:r>
    </w:p>
    <w:p w:rsidR="00F32B22" w:rsidRPr="00CA2B55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11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A2B55">
        <w:rPr>
          <w:lang w:val="fr-FR"/>
        </w:rPr>
        <w:t>Le 27 novembre 2001, le tribunal ordonna une expertise technique. Dans son rapport, déposé le 31 janvier 20</w:t>
      </w:r>
      <w:r>
        <w:rPr>
          <w:lang w:val="fr-FR"/>
        </w:rPr>
        <w:t>03, l</w:t>
      </w:r>
      <w:r w:rsidR="008D2733">
        <w:rPr>
          <w:lang w:val="fr-FR"/>
        </w:rPr>
        <w:t>’</w:t>
      </w:r>
      <w:r>
        <w:rPr>
          <w:lang w:val="fr-FR"/>
        </w:rPr>
        <w:t>expert releva qu</w:t>
      </w:r>
      <w:r w:rsidR="008D2733">
        <w:rPr>
          <w:lang w:val="fr-FR"/>
        </w:rPr>
        <w:t>’</w:t>
      </w:r>
      <w:r>
        <w:rPr>
          <w:lang w:val="fr-FR"/>
        </w:rPr>
        <w:t xml:space="preserve">en 1999 à la </w:t>
      </w:r>
      <w:r w:rsidRPr="00CA2B55">
        <w:rPr>
          <w:lang w:val="fr-FR"/>
        </w:rPr>
        <w:t>date de l</w:t>
      </w:r>
      <w:r w:rsidR="008D2733">
        <w:rPr>
          <w:lang w:val="fr-FR"/>
        </w:rPr>
        <w:t>’</w:t>
      </w:r>
      <w:r w:rsidRPr="00CA2B55">
        <w:rPr>
          <w:lang w:val="fr-FR"/>
        </w:rPr>
        <w:t>introduction du recours devant le tribunal, les travaux de constructions étaient terminés. En outre, l</w:t>
      </w:r>
      <w:r w:rsidR="008D2733">
        <w:rPr>
          <w:lang w:val="fr-FR"/>
        </w:rPr>
        <w:t>’</w:t>
      </w:r>
      <w:r w:rsidRPr="00CA2B55">
        <w:rPr>
          <w:lang w:val="fr-FR"/>
        </w:rPr>
        <w:t xml:space="preserve">expert estima que la valeur vénale du terrain </w:t>
      </w:r>
      <w:r w:rsidRPr="001407E7">
        <w:rPr>
          <w:lang w:val="fr-FR"/>
        </w:rPr>
        <w:t>au moment de l</w:t>
      </w:r>
      <w:r w:rsidR="008D2733">
        <w:rPr>
          <w:lang w:val="fr-FR"/>
        </w:rPr>
        <w:t>’</w:t>
      </w:r>
      <w:r w:rsidRPr="001407E7">
        <w:rPr>
          <w:lang w:val="fr-FR"/>
        </w:rPr>
        <w:t>occupation</w:t>
      </w:r>
      <w:r w:rsidRPr="00CA2B55">
        <w:rPr>
          <w:lang w:val="fr-FR"/>
        </w:rPr>
        <w:t>, en février 1998, était de 200 000 ITL/m², soit 103 EUR/m² environ.</w:t>
      </w:r>
    </w:p>
    <w:p w:rsidR="00F45B72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12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A2B55">
        <w:rPr>
          <w:lang w:val="fr-FR"/>
        </w:rPr>
        <w:t>Par un jugement du 20 avril 2005, déposé le 30 avril 2005, le tribunal déclara que l</w:t>
      </w:r>
      <w:r w:rsidR="008D2733">
        <w:rPr>
          <w:lang w:val="fr-FR"/>
        </w:rPr>
        <w:t>’</w:t>
      </w:r>
      <w:r w:rsidRPr="00CA2B55">
        <w:rPr>
          <w:lang w:val="fr-FR"/>
        </w:rPr>
        <w:t xml:space="preserve">occupation du terrain devait être considérée comme illégale </w:t>
      </w:r>
      <w:r w:rsidRPr="00CA2B55">
        <w:rPr>
          <w:i/>
          <w:lang w:val="fr-FR"/>
        </w:rPr>
        <w:t>ab</w:t>
      </w:r>
      <w:r w:rsidRPr="00CA2B55">
        <w:rPr>
          <w:lang w:val="fr-FR"/>
        </w:rPr>
        <w:t xml:space="preserve"> </w:t>
      </w:r>
      <w:proofErr w:type="spellStart"/>
      <w:r w:rsidRPr="00CA2B55">
        <w:rPr>
          <w:i/>
          <w:lang w:val="fr-FR"/>
        </w:rPr>
        <w:t>initio</w:t>
      </w:r>
      <w:proofErr w:type="spellEnd"/>
      <w:r w:rsidRPr="00CA2B55">
        <w:rPr>
          <w:lang w:val="fr-FR"/>
        </w:rPr>
        <w:t xml:space="preserve">, </w:t>
      </w:r>
      <w:r w:rsidRPr="00D73B16">
        <w:rPr>
          <w:lang w:val="fr-FR"/>
        </w:rPr>
        <w:t>car l</w:t>
      </w:r>
      <w:r w:rsidR="008D2733">
        <w:rPr>
          <w:lang w:val="fr-FR"/>
        </w:rPr>
        <w:t>’</w:t>
      </w:r>
      <w:r w:rsidRPr="00D73B16">
        <w:rPr>
          <w:lang w:val="fr-FR"/>
        </w:rPr>
        <w:t>arrêté de la municipalité ne fixait pas un terme pour</w:t>
      </w:r>
      <w:r w:rsidR="00F45B72">
        <w:rPr>
          <w:lang w:val="fr-FR"/>
        </w:rPr>
        <w:t xml:space="preserve"> </w:t>
      </w:r>
      <w:r w:rsidRPr="00D73B16">
        <w:rPr>
          <w:lang w:val="fr-FR"/>
        </w:rPr>
        <w:t>l</w:t>
      </w:r>
      <w:r w:rsidR="008D2733">
        <w:rPr>
          <w:lang w:val="fr-FR"/>
        </w:rPr>
        <w:t>’</w:t>
      </w:r>
      <w:r w:rsidRPr="00D73B16">
        <w:rPr>
          <w:lang w:val="fr-FR"/>
        </w:rPr>
        <w:t>occupation d</w:t>
      </w:r>
      <w:r w:rsidR="008D2733">
        <w:rPr>
          <w:lang w:val="fr-FR"/>
        </w:rPr>
        <w:t>’</w:t>
      </w:r>
      <w:r w:rsidRPr="00D73B16">
        <w:rPr>
          <w:lang w:val="fr-FR"/>
        </w:rPr>
        <w:t xml:space="preserve">urgence. </w:t>
      </w:r>
      <w:r w:rsidRPr="00D73B16">
        <w:rPr>
          <w:lang w:val="fr-FR" w:eastAsia="en-GB"/>
        </w:rPr>
        <w:t>Nonobstant l</w:t>
      </w:r>
      <w:r w:rsidR="008D2733">
        <w:rPr>
          <w:lang w:val="fr-FR" w:eastAsia="en-GB"/>
        </w:rPr>
        <w:t>’</w:t>
      </w:r>
      <w:r w:rsidRPr="00D73B16">
        <w:rPr>
          <w:lang w:val="fr-FR" w:eastAsia="en-GB"/>
        </w:rPr>
        <w:t>illégalité commise, le tribunal estima que la propriété du terrain était passée à l</w:t>
      </w:r>
      <w:r w:rsidR="008D2733">
        <w:rPr>
          <w:lang w:val="fr-FR" w:eastAsia="en-GB"/>
        </w:rPr>
        <w:t>’</w:t>
      </w:r>
      <w:r w:rsidRPr="00D73B16">
        <w:rPr>
          <w:lang w:val="fr-FR" w:eastAsia="en-GB"/>
        </w:rPr>
        <w:t>administration à la suite de la construction de l</w:t>
      </w:r>
      <w:r w:rsidR="008D2733">
        <w:rPr>
          <w:lang w:val="fr-FR" w:eastAsia="en-GB"/>
        </w:rPr>
        <w:t>’</w:t>
      </w:r>
      <w:r w:rsidRPr="00D73B16">
        <w:rPr>
          <w:lang w:val="fr-FR" w:eastAsia="en-GB"/>
        </w:rPr>
        <w:t>ouvrage public.</w:t>
      </w:r>
      <w:r w:rsidRPr="00D73B16">
        <w:rPr>
          <w:color w:val="000000"/>
          <w:szCs w:val="24"/>
          <w:lang w:val="fr-FR" w:eastAsia="en-GB"/>
        </w:rPr>
        <w:t xml:space="preserve"> </w:t>
      </w:r>
      <w:r w:rsidRPr="00D73B16">
        <w:rPr>
          <w:lang w:val="fr-FR"/>
        </w:rPr>
        <w:t>Il</w:t>
      </w:r>
      <w:r w:rsidRPr="00CA2B55">
        <w:rPr>
          <w:lang w:val="fr-FR"/>
        </w:rPr>
        <w:t xml:space="preserve"> décida que l</w:t>
      </w:r>
      <w:r w:rsidR="008D2733">
        <w:rPr>
          <w:lang w:val="fr-FR"/>
        </w:rPr>
        <w:t>’</w:t>
      </w:r>
      <w:r w:rsidRPr="00CA2B55">
        <w:rPr>
          <w:lang w:val="fr-FR"/>
        </w:rPr>
        <w:t xml:space="preserve">administration devait payer aux requérants une somme correspondante à la valeur marchande du terrain au moment de </w:t>
      </w:r>
      <w:r>
        <w:rPr>
          <w:lang w:val="fr-FR"/>
        </w:rPr>
        <w:t>la perte de la propriété</w:t>
      </w:r>
      <w:r w:rsidRPr="00CA2B55">
        <w:rPr>
          <w:lang w:val="fr-FR"/>
        </w:rPr>
        <w:t>.</w:t>
      </w:r>
    </w:p>
    <w:p w:rsidR="00F32B22" w:rsidRPr="00CA2B55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13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A2B55">
        <w:rPr>
          <w:lang w:val="fr-FR"/>
        </w:rPr>
        <w:t>Le tribunal estima que la valeur du terrain litigieux en 1998 était de 52 EUR/m², réduisant ainsi le montant fixé par l</w:t>
      </w:r>
      <w:r w:rsidR="008D2733">
        <w:rPr>
          <w:lang w:val="fr-FR"/>
        </w:rPr>
        <w:t>’</w:t>
      </w:r>
      <w:r w:rsidRPr="00CA2B55">
        <w:rPr>
          <w:lang w:val="fr-FR"/>
        </w:rPr>
        <w:t>expert, et condamna ainsi l</w:t>
      </w:r>
      <w:r w:rsidR="008D2733">
        <w:rPr>
          <w:lang w:val="fr-FR"/>
        </w:rPr>
        <w:t>’</w:t>
      </w:r>
      <w:r w:rsidRPr="00CA2B55">
        <w:rPr>
          <w:lang w:val="fr-FR"/>
        </w:rPr>
        <w:t>administration à payer 3 900 EUR au titre de dédommagement et 515</w:t>
      </w:r>
      <w:r>
        <w:rPr>
          <w:lang w:val="fr-FR"/>
        </w:rPr>
        <w:t> </w:t>
      </w:r>
      <w:r w:rsidRPr="00CA2B55">
        <w:rPr>
          <w:lang w:val="fr-FR"/>
        </w:rPr>
        <w:t>EUR pour la réévaluation. Ces sommes devaient être assorties des intérêts légaux.</w:t>
      </w:r>
    </w:p>
    <w:p w:rsidR="00F32B22" w:rsidRPr="00CA2B55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14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A2B55">
        <w:rPr>
          <w:lang w:val="fr-FR"/>
        </w:rPr>
        <w:t>Le jugement du tribunal ne fut pas attaqué en appel et acquit l</w:t>
      </w:r>
      <w:r w:rsidR="008D2733">
        <w:rPr>
          <w:lang w:val="fr-FR"/>
        </w:rPr>
        <w:t>’</w:t>
      </w:r>
      <w:r w:rsidRPr="00CA2B55">
        <w:rPr>
          <w:lang w:val="fr-FR"/>
        </w:rPr>
        <w:t>autorité de la chose jugée le 15 juin 2006.</w:t>
      </w:r>
    </w:p>
    <w:p w:rsidR="00F32B22" w:rsidRPr="005E37C6" w:rsidRDefault="00F32B22" w:rsidP="00F32B22">
      <w:pPr>
        <w:pStyle w:val="ECHRHeading1"/>
        <w:rPr>
          <w:lang w:val="fr-FR"/>
        </w:rPr>
      </w:pPr>
      <w:r w:rsidRPr="005E37C6">
        <w:rPr>
          <w:lang w:val="fr-FR"/>
        </w:rPr>
        <w:t>II.  LE DROIT ET LA PRATIQUE INTERNES PERTINENTS</w:t>
      </w:r>
    </w:p>
    <w:p w:rsidR="00F32B22" w:rsidRPr="005644C0" w:rsidRDefault="00F32B22" w:rsidP="00F32B22">
      <w:pPr>
        <w:pStyle w:val="ECHRPara"/>
        <w:rPr>
          <w:snapToGrid w:val="0"/>
          <w:lang w:val="fr-FR"/>
        </w:rPr>
      </w:pPr>
      <w:r>
        <w:fldChar w:fldCharType="begin"/>
      </w:r>
      <w:r w:rsidRPr="005644C0">
        <w:rPr>
          <w:lang w:val="fr-FR"/>
        </w:rPr>
        <w:instrText xml:space="preserve"> SEQ level0 \*arabic </w:instrText>
      </w:r>
      <w:r>
        <w:fldChar w:fldCharType="separate"/>
      </w:r>
      <w:r w:rsidR="00EB773E">
        <w:rPr>
          <w:noProof/>
          <w:lang w:val="fr-FR"/>
        </w:rPr>
        <w:t>15</w:t>
      </w:r>
      <w:r>
        <w:rPr>
          <w:noProof/>
        </w:rPr>
        <w:fldChar w:fldCharType="end"/>
      </w:r>
      <w:r w:rsidRPr="005644C0">
        <w:rPr>
          <w:lang w:val="fr-FR"/>
        </w:rPr>
        <w:t>.  Le droit interne pertinent relatif à l</w:t>
      </w:r>
      <w:r w:rsidR="008D2733">
        <w:rPr>
          <w:lang w:val="fr-FR"/>
        </w:rPr>
        <w:t>’</w:t>
      </w:r>
      <w:r w:rsidRPr="005644C0">
        <w:rPr>
          <w:lang w:val="fr-FR"/>
        </w:rPr>
        <w:t>expropriation indirecte se trouve décrit dans l</w:t>
      </w:r>
      <w:r w:rsidR="008D2733">
        <w:rPr>
          <w:lang w:val="fr-FR"/>
        </w:rPr>
        <w:t>’</w:t>
      </w:r>
      <w:r w:rsidRPr="005644C0">
        <w:rPr>
          <w:lang w:val="fr-FR"/>
        </w:rPr>
        <w:t>arrêt</w:t>
      </w:r>
      <w:r w:rsidRPr="005644C0">
        <w:rPr>
          <w:i/>
          <w:szCs w:val="24"/>
          <w:lang w:val="fr-FR"/>
        </w:rPr>
        <w:t xml:space="preserve"> </w:t>
      </w:r>
      <w:proofErr w:type="spellStart"/>
      <w:r w:rsidRPr="005644C0">
        <w:rPr>
          <w:i/>
          <w:lang w:val="fr-FR"/>
        </w:rPr>
        <w:t>Guiso-Gallisay</w:t>
      </w:r>
      <w:proofErr w:type="spellEnd"/>
      <w:r w:rsidRPr="005644C0">
        <w:rPr>
          <w:i/>
          <w:lang w:val="fr-FR"/>
        </w:rPr>
        <w:t xml:space="preserve"> c. Italie </w:t>
      </w:r>
      <w:r w:rsidRPr="005644C0">
        <w:rPr>
          <w:lang w:val="fr-FR"/>
        </w:rPr>
        <w:t>(satisfaction équitable) [GC], n</w:t>
      </w:r>
      <w:r w:rsidRPr="005644C0">
        <w:rPr>
          <w:vertAlign w:val="superscript"/>
          <w:lang w:val="fr-FR"/>
        </w:rPr>
        <w:t>o</w:t>
      </w:r>
      <w:r w:rsidRPr="005644C0">
        <w:rPr>
          <w:lang w:val="fr-FR"/>
        </w:rPr>
        <w:t> 58858/00</w:t>
      </w:r>
      <w:r w:rsidRPr="005644C0">
        <w:rPr>
          <w:snapToGrid w:val="0"/>
          <w:lang w:val="fr-FR"/>
        </w:rPr>
        <w:t xml:space="preserve">, 22 </w:t>
      </w:r>
      <w:r w:rsidRPr="005644C0">
        <w:rPr>
          <w:lang w:val="fr-FR"/>
        </w:rPr>
        <w:t>décembre</w:t>
      </w:r>
      <w:r w:rsidRPr="005644C0">
        <w:rPr>
          <w:snapToGrid w:val="0"/>
          <w:lang w:val="fr-FR"/>
        </w:rPr>
        <w:t xml:space="preserve"> 2009.</w:t>
      </w:r>
    </w:p>
    <w:p w:rsidR="00F32B22" w:rsidRPr="00440876" w:rsidRDefault="00F32B22" w:rsidP="00F32B22">
      <w:pPr>
        <w:pStyle w:val="ECHRTitle1"/>
        <w:rPr>
          <w:lang w:val="fr-FR"/>
        </w:rPr>
      </w:pPr>
      <w:r w:rsidRPr="00440876">
        <w:rPr>
          <w:lang w:val="fr-FR"/>
        </w:rPr>
        <w:t>EN DROIT</w:t>
      </w:r>
    </w:p>
    <w:p w:rsidR="00F32B22" w:rsidRPr="00440876" w:rsidRDefault="00F32B22" w:rsidP="00F32B22">
      <w:pPr>
        <w:pStyle w:val="ECHRHeading1"/>
        <w:rPr>
          <w:lang w:val="fr-FR"/>
        </w:rPr>
      </w:pPr>
      <w:r w:rsidRPr="00440876">
        <w:rPr>
          <w:lang w:val="fr-FR"/>
        </w:rPr>
        <w:t>I.  SUR LA VIOLATION ALLÉGUÉE DE L</w:t>
      </w:r>
      <w:r w:rsidR="008D2733">
        <w:rPr>
          <w:lang w:val="fr-FR"/>
        </w:rPr>
        <w:t>’</w:t>
      </w:r>
      <w:r w:rsidRPr="00440876">
        <w:rPr>
          <w:lang w:val="fr-FR"/>
        </w:rPr>
        <w:t>ARTICLE 1 DU PROTOCOLE N</w:t>
      </w:r>
      <w:r w:rsidR="00F45B72" w:rsidRPr="00F45B72">
        <w:rPr>
          <w:vertAlign w:val="superscript"/>
          <w:lang w:val="fr-FR"/>
        </w:rPr>
        <w:t>o</w:t>
      </w:r>
      <w:r w:rsidR="002C24FD">
        <w:rPr>
          <w:lang w:val="fr-FR"/>
        </w:rPr>
        <w:t xml:space="preserve"> </w:t>
      </w:r>
      <w:r w:rsidRPr="00440876">
        <w:rPr>
          <w:lang w:val="fr-FR"/>
        </w:rPr>
        <w:t>1</w:t>
      </w:r>
    </w:p>
    <w:p w:rsidR="00F32B22" w:rsidRPr="00440876" w:rsidRDefault="00F32B22" w:rsidP="00F32B22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EB773E">
        <w:rPr>
          <w:noProof/>
          <w:lang w:val="fr-FR"/>
        </w:rPr>
        <w:t>16</w:t>
      </w:r>
      <w:r>
        <w:rPr>
          <w:noProof/>
        </w:rPr>
        <w:fldChar w:fldCharType="end"/>
      </w:r>
      <w:r w:rsidRPr="00440876">
        <w:rPr>
          <w:lang w:val="fr-FR"/>
        </w:rPr>
        <w:t xml:space="preserve">.   </w:t>
      </w:r>
      <w:r>
        <w:rPr>
          <w:lang w:val="fr-FR"/>
        </w:rPr>
        <w:t>Les requérants</w:t>
      </w:r>
      <w:r w:rsidR="00F45B72">
        <w:rPr>
          <w:lang w:val="fr-FR"/>
        </w:rPr>
        <w:t xml:space="preserve"> </w:t>
      </w:r>
      <w:r w:rsidRPr="00440876">
        <w:rPr>
          <w:lang w:val="fr-FR"/>
        </w:rPr>
        <w:t>allègue</w:t>
      </w:r>
      <w:r>
        <w:rPr>
          <w:lang w:val="fr-FR"/>
        </w:rPr>
        <w:t>nt avoir été privés</w:t>
      </w:r>
      <w:r w:rsidRPr="00440876">
        <w:rPr>
          <w:lang w:val="fr-FR"/>
        </w:rPr>
        <w:t xml:space="preserve"> de </w:t>
      </w:r>
      <w:r>
        <w:rPr>
          <w:lang w:val="fr-FR"/>
        </w:rPr>
        <w:t>leur</w:t>
      </w:r>
      <w:r w:rsidRPr="00440876">
        <w:rPr>
          <w:lang w:val="fr-FR"/>
        </w:rPr>
        <w:t xml:space="preserve"> terrain de manière incompatible avec l</w:t>
      </w:r>
      <w:r w:rsidR="008D2733">
        <w:rPr>
          <w:lang w:val="fr-FR"/>
        </w:rPr>
        <w:t>’</w:t>
      </w:r>
      <w:r w:rsidRPr="00440876">
        <w:rPr>
          <w:lang w:val="fr-FR"/>
        </w:rPr>
        <w:t>article 1 du Protocole n</w:t>
      </w:r>
      <w:r w:rsidR="00F45B72" w:rsidRPr="00F45B72">
        <w:rPr>
          <w:vertAlign w:val="superscript"/>
          <w:lang w:val="fr-FR"/>
        </w:rPr>
        <w:t>o</w:t>
      </w:r>
      <w:r w:rsidRPr="00440876">
        <w:rPr>
          <w:lang w:val="fr-FR"/>
        </w:rPr>
        <w:t xml:space="preserve"> 1, ainsi libellé :</w:t>
      </w:r>
    </w:p>
    <w:p w:rsidR="00F32B22" w:rsidRPr="00440876" w:rsidRDefault="00F32B22" w:rsidP="00F32B22">
      <w:pPr>
        <w:pStyle w:val="ECHRParaQuote"/>
        <w:rPr>
          <w:lang w:val="fr-FR"/>
        </w:rPr>
      </w:pPr>
      <w:r w:rsidRPr="00440876">
        <w:rPr>
          <w:lang w:val="fr-FR"/>
        </w:rPr>
        <w:lastRenderedPageBreak/>
        <w:t>« Toute personne physique ou morale a droit au respect de ses biens. Nul ne peut être privé de sa propriété que pour cause d</w:t>
      </w:r>
      <w:r w:rsidR="008D2733">
        <w:rPr>
          <w:lang w:val="fr-FR"/>
        </w:rPr>
        <w:t>’</w:t>
      </w:r>
      <w:r w:rsidRPr="00440876">
        <w:rPr>
          <w:lang w:val="fr-FR"/>
        </w:rPr>
        <w:t>utilité publique et dans les conditions prévues par la loi et les principes généraux du droit international.</w:t>
      </w:r>
    </w:p>
    <w:p w:rsidR="00F32B22" w:rsidRPr="00440876" w:rsidRDefault="00F32B22" w:rsidP="00F32B22">
      <w:pPr>
        <w:pStyle w:val="ECHRParaQuote"/>
        <w:rPr>
          <w:lang w:val="fr-FR"/>
        </w:rPr>
      </w:pPr>
      <w:r w:rsidRPr="00440876">
        <w:rPr>
          <w:lang w:val="fr-FR"/>
        </w:rPr>
        <w:t>Les dispositions précédentes ne portent pas atteinte au droit que possèdent les États de mettre en vigueur les lois qu</w:t>
      </w:r>
      <w:r w:rsidR="008D2733">
        <w:rPr>
          <w:lang w:val="fr-FR"/>
        </w:rPr>
        <w:t>’</w:t>
      </w:r>
      <w:r w:rsidRPr="00440876">
        <w:rPr>
          <w:lang w:val="fr-FR"/>
        </w:rPr>
        <w:t>ils jugent nécessaires pour réglementer l</w:t>
      </w:r>
      <w:r w:rsidR="008D2733">
        <w:rPr>
          <w:lang w:val="fr-FR"/>
        </w:rPr>
        <w:t>’</w:t>
      </w:r>
      <w:r w:rsidRPr="00440876">
        <w:rPr>
          <w:lang w:val="fr-FR"/>
        </w:rPr>
        <w:t>usage des biens conformément à l</w:t>
      </w:r>
      <w:r w:rsidR="008D2733">
        <w:rPr>
          <w:lang w:val="fr-FR"/>
        </w:rPr>
        <w:t>’</w:t>
      </w:r>
      <w:r w:rsidRPr="00440876">
        <w:rPr>
          <w:lang w:val="fr-FR"/>
        </w:rPr>
        <w:t>intérêt général ou pour assurer le paiement des impôts ou d</w:t>
      </w:r>
      <w:r w:rsidR="008D2733">
        <w:rPr>
          <w:lang w:val="fr-FR"/>
        </w:rPr>
        <w:t>’</w:t>
      </w:r>
      <w:r w:rsidRPr="00440876">
        <w:rPr>
          <w:lang w:val="fr-FR"/>
        </w:rPr>
        <w:t>autres contributions ou des amendes. »</w:t>
      </w:r>
    </w:p>
    <w:p w:rsidR="00F32B22" w:rsidRPr="00F45B72" w:rsidRDefault="00F32B22" w:rsidP="00F45B72">
      <w:pPr>
        <w:pStyle w:val="ECHRHeading2"/>
      </w:pPr>
      <w:r w:rsidRPr="00F45B72">
        <w:t xml:space="preserve">A.  Sur la </w:t>
      </w:r>
      <w:proofErr w:type="spellStart"/>
      <w:r w:rsidRPr="00F45B72">
        <w:t>recevabilité</w:t>
      </w:r>
      <w:proofErr w:type="spellEnd"/>
    </w:p>
    <w:p w:rsidR="00F32B22" w:rsidRPr="00574C8C" w:rsidRDefault="00F32B22" w:rsidP="00F32B22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EB773E">
        <w:rPr>
          <w:noProof/>
          <w:lang w:val="fr-FR"/>
        </w:rPr>
        <w:t>17</w:t>
      </w:r>
      <w:r>
        <w:rPr>
          <w:noProof/>
        </w:rPr>
        <w:fldChar w:fldCharType="end"/>
      </w:r>
      <w:r w:rsidRPr="00440876">
        <w:rPr>
          <w:lang w:val="fr-FR"/>
        </w:rPr>
        <w:t>.  Le Gouvernement avance que l</w:t>
      </w:r>
      <w:r>
        <w:rPr>
          <w:lang w:val="fr-FR"/>
        </w:rPr>
        <w:t>es</w:t>
      </w:r>
      <w:r w:rsidRPr="00440876">
        <w:rPr>
          <w:lang w:val="fr-FR"/>
        </w:rPr>
        <w:t xml:space="preserve"> requérant</w:t>
      </w:r>
      <w:r>
        <w:rPr>
          <w:lang w:val="fr-FR"/>
        </w:rPr>
        <w:t>s</w:t>
      </w:r>
      <w:r w:rsidRPr="00440876">
        <w:rPr>
          <w:lang w:val="fr-FR"/>
        </w:rPr>
        <w:t xml:space="preserve"> </w:t>
      </w:r>
      <w:r>
        <w:rPr>
          <w:lang w:val="fr-FR"/>
        </w:rPr>
        <w:t>ne sont</w:t>
      </w:r>
      <w:r w:rsidRPr="00440876">
        <w:rPr>
          <w:lang w:val="fr-FR"/>
        </w:rPr>
        <w:t xml:space="preserve"> plus « </w:t>
      </w:r>
      <w:r w:rsidRPr="00574C8C">
        <w:rPr>
          <w:lang w:val="fr-FR"/>
        </w:rPr>
        <w:t>victimes » de la violation alléguée puisqu</w:t>
      </w:r>
      <w:r w:rsidR="008D2733">
        <w:rPr>
          <w:lang w:val="fr-FR"/>
        </w:rPr>
        <w:t>’</w:t>
      </w:r>
      <w:r w:rsidRPr="00574C8C">
        <w:rPr>
          <w:lang w:val="fr-FR"/>
        </w:rPr>
        <w:t>ils ont obtenu du tribunal d</w:t>
      </w:r>
      <w:r w:rsidR="008D2733">
        <w:rPr>
          <w:lang w:val="fr-FR"/>
        </w:rPr>
        <w:t>’</w:t>
      </w:r>
      <w:r w:rsidRPr="00574C8C">
        <w:rPr>
          <w:lang w:val="fr-FR"/>
        </w:rPr>
        <w:t>Agrigente un dédommagement correspondant à la valeur vénale du terrain exproprié</w:t>
      </w:r>
      <w:r>
        <w:rPr>
          <w:lang w:val="fr-FR"/>
        </w:rPr>
        <w:t xml:space="preserve">, </w:t>
      </w:r>
      <w:r w:rsidRPr="00FB0CCF">
        <w:rPr>
          <w:lang w:val="fr-FR" w:eastAsia="en-GB"/>
        </w:rPr>
        <w:t>réévaluée et assortie d</w:t>
      </w:r>
      <w:r w:rsidR="008D2733">
        <w:rPr>
          <w:lang w:val="fr-FR" w:eastAsia="en-GB"/>
        </w:rPr>
        <w:t>’</w:t>
      </w:r>
      <w:r w:rsidRPr="00FB0CCF">
        <w:rPr>
          <w:lang w:val="fr-FR" w:eastAsia="en-GB"/>
        </w:rPr>
        <w:t>intérêts</w:t>
      </w:r>
      <w:r w:rsidRPr="00574C8C">
        <w:rPr>
          <w:lang w:val="fr-FR"/>
        </w:rPr>
        <w:t>.</w:t>
      </w:r>
    </w:p>
    <w:p w:rsidR="00F45B72" w:rsidRDefault="00F32B22" w:rsidP="00F32B22">
      <w:pPr>
        <w:pStyle w:val="ECHRPara"/>
        <w:rPr>
          <w:lang w:val="fr-FR"/>
        </w:rPr>
      </w:pPr>
      <w:r w:rsidRPr="00574C8C">
        <w:rPr>
          <w:lang w:val="fr-FR"/>
        </w:rPr>
        <w:fldChar w:fldCharType="begin"/>
      </w:r>
      <w:r w:rsidRPr="00574C8C">
        <w:rPr>
          <w:lang w:val="fr-FR"/>
        </w:rPr>
        <w:instrText xml:space="preserve"> SEQ level0 \*arabic </w:instrText>
      </w:r>
      <w:r w:rsidRPr="00574C8C">
        <w:rPr>
          <w:lang w:val="fr-FR"/>
        </w:rPr>
        <w:fldChar w:fldCharType="separate"/>
      </w:r>
      <w:r w:rsidR="00EB773E">
        <w:rPr>
          <w:noProof/>
          <w:lang w:val="fr-FR"/>
        </w:rPr>
        <w:t>18</w:t>
      </w:r>
      <w:r w:rsidRPr="00574C8C">
        <w:rPr>
          <w:lang w:val="fr-FR"/>
        </w:rPr>
        <w:fldChar w:fldCharType="end"/>
      </w:r>
      <w:r w:rsidRPr="00574C8C">
        <w:rPr>
          <w:lang w:val="fr-FR"/>
        </w:rPr>
        <w:t>.  Les requérants demandent le rejet de cette exception.</w:t>
      </w:r>
    </w:p>
    <w:p w:rsidR="00F32B22" w:rsidRPr="002E5CE7" w:rsidRDefault="00F32B22" w:rsidP="00F32B22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EB773E">
        <w:rPr>
          <w:noProof/>
          <w:lang w:val="fr-FR"/>
        </w:rPr>
        <w:t>19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D55AC">
        <w:rPr>
          <w:lang w:val="fr-FR"/>
        </w:rPr>
        <w:t>La Cour estime, à la lumière de l</w:t>
      </w:r>
      <w:r w:rsidR="008D2733">
        <w:rPr>
          <w:lang w:val="fr-FR"/>
        </w:rPr>
        <w:t>’</w:t>
      </w:r>
      <w:r w:rsidRPr="00CD55AC">
        <w:rPr>
          <w:lang w:val="fr-FR"/>
        </w:rPr>
        <w:t>ensemble des arguments des parties, que cette exception est étroitement liée au fond de la requête et décide de la joindre au fond. Elle constate que la requête n</w:t>
      </w:r>
      <w:r w:rsidR="008D2733">
        <w:rPr>
          <w:lang w:val="fr-FR"/>
        </w:rPr>
        <w:t>’</w:t>
      </w:r>
      <w:r w:rsidRPr="00CD55AC">
        <w:rPr>
          <w:lang w:val="fr-FR"/>
        </w:rPr>
        <w:t xml:space="preserve">est pas </w:t>
      </w:r>
      <w:r w:rsidRPr="002E5CE7">
        <w:rPr>
          <w:lang w:val="fr-FR"/>
        </w:rPr>
        <w:t>manifestement mal fondée au sens de l</w:t>
      </w:r>
      <w:r w:rsidR="008D2733">
        <w:rPr>
          <w:lang w:val="fr-FR"/>
        </w:rPr>
        <w:t>’</w:t>
      </w:r>
      <w:r w:rsidRPr="002E5CE7">
        <w:rPr>
          <w:lang w:val="fr-FR"/>
        </w:rPr>
        <w:t>article 35 § 3 de la Convention. Elle relève par ailleurs que celle-ci ne se heurte à aucun autre motif d</w:t>
      </w:r>
      <w:r w:rsidR="008D2733">
        <w:rPr>
          <w:lang w:val="fr-FR"/>
        </w:rPr>
        <w:t>’</w:t>
      </w:r>
      <w:r w:rsidRPr="002E5CE7">
        <w:rPr>
          <w:lang w:val="fr-FR"/>
        </w:rPr>
        <w:t>irrecevabilité.</w:t>
      </w:r>
    </w:p>
    <w:p w:rsidR="00F32B22" w:rsidRPr="00F45B72" w:rsidRDefault="00F32B22" w:rsidP="00F45B72">
      <w:pPr>
        <w:pStyle w:val="ECHRHeading2"/>
      </w:pPr>
      <w:r w:rsidRPr="00F45B72">
        <w:t>B.  Sur le fond</w:t>
      </w:r>
    </w:p>
    <w:p w:rsidR="00F32B22" w:rsidRPr="002E5CE7" w:rsidRDefault="00F32B22" w:rsidP="00F32B22">
      <w:pPr>
        <w:pStyle w:val="ECHRPara"/>
        <w:rPr>
          <w:lang w:val="fr-FR"/>
        </w:rPr>
      </w:pPr>
      <w:r w:rsidRPr="002E5CE7">
        <w:fldChar w:fldCharType="begin"/>
      </w:r>
      <w:r w:rsidRPr="002E5CE7">
        <w:rPr>
          <w:lang w:val="fr-FR"/>
        </w:rPr>
        <w:instrText xml:space="preserve"> SEQ level0 \*arabic </w:instrText>
      </w:r>
      <w:r w:rsidRPr="002E5CE7">
        <w:fldChar w:fldCharType="separate"/>
      </w:r>
      <w:r w:rsidR="00EB773E">
        <w:rPr>
          <w:noProof/>
          <w:lang w:val="fr-FR"/>
        </w:rPr>
        <w:t>20</w:t>
      </w:r>
      <w:r w:rsidRPr="002E5CE7">
        <w:rPr>
          <w:noProof/>
        </w:rPr>
        <w:fldChar w:fldCharType="end"/>
      </w:r>
      <w:r w:rsidRPr="002E5CE7">
        <w:rPr>
          <w:lang w:val="fr-FR"/>
        </w:rPr>
        <w:t>.  Les requérants soutiennent qu</w:t>
      </w:r>
      <w:r w:rsidR="008D2733">
        <w:rPr>
          <w:lang w:val="fr-FR"/>
        </w:rPr>
        <w:t>’</w:t>
      </w:r>
      <w:r w:rsidRPr="002E5CE7">
        <w:rPr>
          <w:lang w:val="fr-FR"/>
        </w:rPr>
        <w:t>ils ont été privées de leur bien en vertu d</w:t>
      </w:r>
      <w:r w:rsidR="008D2733">
        <w:rPr>
          <w:lang w:val="fr-FR"/>
        </w:rPr>
        <w:t>’</w:t>
      </w:r>
      <w:r w:rsidRPr="002E5CE7">
        <w:rPr>
          <w:lang w:val="fr-FR"/>
        </w:rPr>
        <w:t>un mécanisme qui permet à l</w:t>
      </w:r>
      <w:r w:rsidR="008D2733">
        <w:rPr>
          <w:lang w:val="fr-FR"/>
        </w:rPr>
        <w:t>’</w:t>
      </w:r>
      <w:r w:rsidRPr="002E5CE7">
        <w:rPr>
          <w:lang w:val="fr-FR"/>
        </w:rPr>
        <w:t>autorité publique d</w:t>
      </w:r>
      <w:r w:rsidR="008D2733">
        <w:rPr>
          <w:lang w:val="fr-FR"/>
        </w:rPr>
        <w:t>’</w:t>
      </w:r>
      <w:r w:rsidRPr="002E5CE7">
        <w:rPr>
          <w:lang w:val="fr-FR"/>
        </w:rPr>
        <w:t>acquérir un bien en toute illégalité, ce qui n</w:t>
      </w:r>
      <w:r w:rsidR="008D2733">
        <w:rPr>
          <w:lang w:val="fr-FR"/>
        </w:rPr>
        <w:t>’</w:t>
      </w:r>
      <w:r w:rsidRPr="002E5CE7">
        <w:rPr>
          <w:lang w:val="fr-FR"/>
        </w:rPr>
        <w:t>est pas admissible dans un État de droit.</w:t>
      </w:r>
    </w:p>
    <w:p w:rsidR="00F32B22" w:rsidRPr="002E5CE7" w:rsidRDefault="00F32B22" w:rsidP="00F32B22">
      <w:pPr>
        <w:pStyle w:val="ECHRPara"/>
        <w:rPr>
          <w:color w:val="000000"/>
          <w:lang w:val="fr-FR"/>
        </w:rPr>
      </w:pPr>
      <w:r w:rsidRPr="002E5CE7">
        <w:fldChar w:fldCharType="begin"/>
      </w:r>
      <w:r w:rsidRPr="002E5CE7">
        <w:rPr>
          <w:lang w:val="fr-FR"/>
        </w:rPr>
        <w:instrText xml:space="preserve"> SEQ level0 \*arabic </w:instrText>
      </w:r>
      <w:r w:rsidRPr="002E5CE7">
        <w:fldChar w:fldCharType="separate"/>
      </w:r>
      <w:r w:rsidR="00EB773E">
        <w:rPr>
          <w:noProof/>
          <w:lang w:val="fr-FR"/>
        </w:rPr>
        <w:t>21</w:t>
      </w:r>
      <w:r w:rsidRPr="002E5CE7">
        <w:rPr>
          <w:noProof/>
        </w:rPr>
        <w:fldChar w:fldCharType="end"/>
      </w:r>
      <w:r w:rsidRPr="002E5CE7">
        <w:rPr>
          <w:lang w:val="fr-FR"/>
        </w:rPr>
        <w:t>.  Le Gouvernement s</w:t>
      </w:r>
      <w:r w:rsidR="008D2733">
        <w:rPr>
          <w:lang w:val="fr-FR"/>
        </w:rPr>
        <w:t>’</w:t>
      </w:r>
      <w:r w:rsidRPr="002E5CE7">
        <w:rPr>
          <w:lang w:val="fr-FR"/>
        </w:rPr>
        <w:t>oppose à cette thèse. En l</w:t>
      </w:r>
      <w:r w:rsidR="008D2733">
        <w:rPr>
          <w:lang w:val="fr-FR"/>
        </w:rPr>
        <w:t>’</w:t>
      </w:r>
      <w:r w:rsidRPr="002E5CE7">
        <w:rPr>
          <w:lang w:val="fr-FR"/>
        </w:rPr>
        <w:t xml:space="preserve">espèce, le Gouvernement fait valoir que </w:t>
      </w:r>
      <w:r w:rsidRPr="002E5CE7">
        <w:rPr>
          <w:color w:val="000000"/>
          <w:lang w:val="fr-FR"/>
        </w:rPr>
        <w:t xml:space="preserve">les requérants ont obtenu du tribunal un dédommagement égal à la valeur vénale du terrain </w:t>
      </w:r>
      <w:r w:rsidRPr="002E5CE7">
        <w:rPr>
          <w:lang w:val="fr-FR"/>
        </w:rPr>
        <w:t>au moment de la perte de la propriété</w:t>
      </w:r>
      <w:r w:rsidRPr="002E5CE7">
        <w:rPr>
          <w:color w:val="000000"/>
          <w:lang w:val="fr-FR"/>
        </w:rPr>
        <w:t xml:space="preserve">, </w:t>
      </w:r>
      <w:r w:rsidRPr="002E5CE7">
        <w:rPr>
          <w:lang w:val="fr-FR" w:eastAsia="en-GB"/>
        </w:rPr>
        <w:t>réévaluée et assortie d</w:t>
      </w:r>
      <w:r w:rsidR="008D2733">
        <w:rPr>
          <w:lang w:val="fr-FR" w:eastAsia="en-GB"/>
        </w:rPr>
        <w:t>’</w:t>
      </w:r>
      <w:r w:rsidRPr="002E5CE7">
        <w:rPr>
          <w:lang w:val="fr-FR" w:eastAsia="en-GB"/>
        </w:rPr>
        <w:t>intérêts</w:t>
      </w:r>
      <w:r w:rsidRPr="002E5CE7">
        <w:rPr>
          <w:color w:val="000000"/>
          <w:lang w:val="fr-FR"/>
        </w:rPr>
        <w:t>.</w:t>
      </w:r>
    </w:p>
    <w:p w:rsidR="00F32B22" w:rsidRPr="002E5CE7" w:rsidRDefault="00F32B22" w:rsidP="00F32B22">
      <w:pPr>
        <w:pStyle w:val="ECHRPara"/>
        <w:rPr>
          <w:lang w:val="fr-FR"/>
        </w:rPr>
      </w:pPr>
      <w:r w:rsidRPr="002E5CE7">
        <w:rPr>
          <w:color w:val="000000"/>
          <w:lang w:val="fr-FR"/>
        </w:rPr>
        <w:fldChar w:fldCharType="begin"/>
      </w:r>
      <w:r w:rsidRPr="002E5CE7">
        <w:rPr>
          <w:color w:val="000000"/>
          <w:lang w:val="fr-FR"/>
        </w:rPr>
        <w:instrText xml:space="preserve"> SEQ level0 \*arabic </w:instrText>
      </w:r>
      <w:r w:rsidRPr="002E5CE7">
        <w:rPr>
          <w:color w:val="000000"/>
          <w:lang w:val="fr-FR"/>
        </w:rPr>
        <w:fldChar w:fldCharType="separate"/>
      </w:r>
      <w:r w:rsidR="00EB773E">
        <w:rPr>
          <w:noProof/>
          <w:color w:val="000000"/>
          <w:lang w:val="fr-FR"/>
        </w:rPr>
        <w:t>22</w:t>
      </w:r>
      <w:r w:rsidRPr="002E5CE7">
        <w:rPr>
          <w:color w:val="000000"/>
          <w:lang w:val="fr-FR"/>
        </w:rPr>
        <w:fldChar w:fldCharType="end"/>
      </w:r>
      <w:r w:rsidRPr="002E5CE7">
        <w:rPr>
          <w:color w:val="000000"/>
          <w:lang w:val="fr-FR"/>
        </w:rPr>
        <w:t>.  </w:t>
      </w:r>
      <w:r w:rsidRPr="002E5CE7">
        <w:rPr>
          <w:lang w:val="fr-FR"/>
        </w:rPr>
        <w:t>La Cour rappelle d</w:t>
      </w:r>
      <w:r w:rsidR="008D2733">
        <w:rPr>
          <w:lang w:val="fr-FR"/>
        </w:rPr>
        <w:t>’</w:t>
      </w:r>
      <w:r w:rsidRPr="002E5CE7">
        <w:rPr>
          <w:lang w:val="fr-FR"/>
        </w:rPr>
        <w:t>emblée qu</w:t>
      </w:r>
      <w:r w:rsidR="008D2733">
        <w:rPr>
          <w:lang w:val="fr-FR"/>
        </w:rPr>
        <w:t>’</w:t>
      </w:r>
      <w:r w:rsidRPr="002E5CE7">
        <w:rPr>
          <w:lang w:val="fr-FR"/>
        </w:rPr>
        <w:t>elle a joint au fond l</w:t>
      </w:r>
      <w:r w:rsidR="008D2733">
        <w:rPr>
          <w:lang w:val="fr-FR"/>
        </w:rPr>
        <w:t>’</w:t>
      </w:r>
      <w:r w:rsidRPr="002E5CE7">
        <w:rPr>
          <w:lang w:val="fr-FR"/>
        </w:rPr>
        <w:t>exception du Gouvernement tirée de la perte de qualité de victime des requérants.</w:t>
      </w:r>
    </w:p>
    <w:p w:rsidR="00F45B72" w:rsidRDefault="00F32B22" w:rsidP="00F32B22">
      <w:pPr>
        <w:pStyle w:val="ECHRPara"/>
        <w:rPr>
          <w:lang w:val="fr-FR"/>
        </w:rPr>
      </w:pPr>
      <w:r w:rsidRPr="002E5CE7">
        <w:fldChar w:fldCharType="begin"/>
      </w:r>
      <w:r w:rsidRPr="002E5CE7">
        <w:rPr>
          <w:lang w:val="fr-FR"/>
        </w:rPr>
        <w:instrText xml:space="preserve"> SEQ level0 \*arabic </w:instrText>
      </w:r>
      <w:r w:rsidRPr="002E5CE7">
        <w:fldChar w:fldCharType="separate"/>
      </w:r>
      <w:r w:rsidR="00EB773E">
        <w:rPr>
          <w:noProof/>
          <w:lang w:val="fr-FR"/>
        </w:rPr>
        <w:t>23</w:t>
      </w:r>
      <w:r w:rsidRPr="002E5CE7">
        <w:rPr>
          <w:noProof/>
        </w:rPr>
        <w:fldChar w:fldCharType="end"/>
      </w:r>
      <w:r w:rsidRPr="002E5CE7">
        <w:rPr>
          <w:lang w:val="fr-FR"/>
        </w:rPr>
        <w:t>. Ensuite, la Cour note que les parties s</w:t>
      </w:r>
      <w:r w:rsidR="008D2733">
        <w:rPr>
          <w:lang w:val="fr-FR"/>
        </w:rPr>
        <w:t>’</w:t>
      </w:r>
      <w:r w:rsidRPr="002E5CE7">
        <w:rPr>
          <w:lang w:val="fr-FR"/>
        </w:rPr>
        <w:t>accordent pour dire qu</w:t>
      </w:r>
      <w:r w:rsidR="008D2733">
        <w:rPr>
          <w:lang w:val="fr-FR"/>
        </w:rPr>
        <w:t>’</w:t>
      </w:r>
      <w:r w:rsidRPr="002E5CE7">
        <w:rPr>
          <w:lang w:val="fr-FR"/>
        </w:rPr>
        <w:t>il y a eu « privation de la propriété ».</w:t>
      </w:r>
    </w:p>
    <w:p w:rsidR="00F32B22" w:rsidRPr="002E5CE7" w:rsidRDefault="00F32B22" w:rsidP="00F32B22">
      <w:pPr>
        <w:pStyle w:val="ECHRPara"/>
        <w:rPr>
          <w:lang w:val="fr-FR"/>
        </w:rPr>
      </w:pPr>
      <w:r w:rsidRPr="002E5CE7">
        <w:fldChar w:fldCharType="begin"/>
      </w:r>
      <w:r w:rsidRPr="002E5CE7">
        <w:rPr>
          <w:lang w:val="fr-FR"/>
        </w:rPr>
        <w:instrText xml:space="preserve"> SEQ level0 \*arabic </w:instrText>
      </w:r>
      <w:r w:rsidRPr="002E5CE7">
        <w:fldChar w:fldCharType="separate"/>
      </w:r>
      <w:r w:rsidR="00EB773E">
        <w:rPr>
          <w:noProof/>
          <w:lang w:val="fr-FR"/>
        </w:rPr>
        <w:t>24</w:t>
      </w:r>
      <w:r w:rsidRPr="002E5CE7">
        <w:rPr>
          <w:noProof/>
        </w:rPr>
        <w:fldChar w:fldCharType="end"/>
      </w:r>
      <w:r w:rsidRPr="002E5CE7">
        <w:rPr>
          <w:lang w:val="fr-FR"/>
        </w:rPr>
        <w:t>.  La Cour renvoie à sa jurisprudence en matière d</w:t>
      </w:r>
      <w:r w:rsidR="008D2733">
        <w:rPr>
          <w:lang w:val="fr-FR"/>
        </w:rPr>
        <w:t>’</w:t>
      </w:r>
      <w:r w:rsidRPr="002E5CE7">
        <w:rPr>
          <w:lang w:val="fr-FR"/>
        </w:rPr>
        <w:t xml:space="preserve">expropriation </w:t>
      </w:r>
      <w:bookmarkStart w:id="1" w:name="HIT16"/>
      <w:bookmarkEnd w:id="1"/>
      <w:r w:rsidRPr="002E5CE7">
        <w:rPr>
          <w:bCs/>
          <w:lang w:val="fr-FR"/>
        </w:rPr>
        <w:t>indirecte</w:t>
      </w:r>
      <w:r w:rsidRPr="002E5CE7">
        <w:rPr>
          <w:lang w:val="fr-FR"/>
        </w:rPr>
        <w:t xml:space="preserve"> (voir, parmi d</w:t>
      </w:r>
      <w:r w:rsidR="008D2733">
        <w:rPr>
          <w:lang w:val="fr-FR"/>
        </w:rPr>
        <w:t>’</w:t>
      </w:r>
      <w:r w:rsidRPr="002E5CE7">
        <w:rPr>
          <w:lang w:val="fr-FR"/>
        </w:rPr>
        <w:t xml:space="preserve">autres, </w:t>
      </w:r>
      <w:proofErr w:type="spellStart"/>
      <w:r w:rsidRPr="002E5CE7">
        <w:rPr>
          <w:i/>
          <w:iCs/>
          <w:lang w:val="fr-FR"/>
        </w:rPr>
        <w:t>Belvedere</w:t>
      </w:r>
      <w:proofErr w:type="spellEnd"/>
      <w:r w:rsidRPr="002E5CE7">
        <w:rPr>
          <w:i/>
          <w:iCs/>
          <w:lang w:val="fr-FR"/>
        </w:rPr>
        <w:t xml:space="preserve"> </w:t>
      </w:r>
      <w:proofErr w:type="spellStart"/>
      <w:r w:rsidRPr="002E5CE7">
        <w:rPr>
          <w:i/>
          <w:iCs/>
          <w:lang w:val="fr-FR"/>
        </w:rPr>
        <w:t>Alberghiera</w:t>
      </w:r>
      <w:proofErr w:type="spellEnd"/>
      <w:r w:rsidRPr="002E5CE7">
        <w:rPr>
          <w:i/>
          <w:iCs/>
          <w:lang w:val="fr-FR"/>
        </w:rPr>
        <w:t xml:space="preserve"> </w:t>
      </w:r>
      <w:proofErr w:type="spellStart"/>
      <w:r w:rsidRPr="002E5CE7">
        <w:rPr>
          <w:i/>
          <w:iCs/>
          <w:lang w:val="fr-FR"/>
        </w:rPr>
        <w:t>S.r.l</w:t>
      </w:r>
      <w:proofErr w:type="spellEnd"/>
      <w:r w:rsidRPr="002E5CE7">
        <w:rPr>
          <w:i/>
          <w:iCs/>
          <w:lang w:val="fr-FR"/>
        </w:rPr>
        <w:t>. c. Italie</w:t>
      </w:r>
      <w:r w:rsidRPr="002E5CE7">
        <w:rPr>
          <w:lang w:val="fr-FR"/>
        </w:rPr>
        <w:t>, n</w:t>
      </w:r>
      <w:r w:rsidRPr="002E5CE7">
        <w:rPr>
          <w:vertAlign w:val="superscript"/>
          <w:lang w:val="fr-FR"/>
        </w:rPr>
        <w:t>o</w:t>
      </w:r>
      <w:r w:rsidRPr="002E5CE7">
        <w:rPr>
          <w:lang w:val="fr-FR"/>
        </w:rPr>
        <w:t xml:space="preserve"> 31524/96, CEDH 2000-VI ; </w:t>
      </w:r>
      <w:proofErr w:type="spellStart"/>
      <w:r w:rsidRPr="002E5CE7">
        <w:rPr>
          <w:i/>
          <w:iCs/>
          <w:lang w:val="fr-FR"/>
        </w:rPr>
        <w:t>Scordino</w:t>
      </w:r>
      <w:proofErr w:type="spellEnd"/>
      <w:r w:rsidRPr="002E5CE7">
        <w:rPr>
          <w:i/>
          <w:iCs/>
          <w:lang w:val="fr-FR"/>
        </w:rPr>
        <w:t xml:space="preserve"> c. Italie (n</w:t>
      </w:r>
      <w:r w:rsidRPr="002E5CE7">
        <w:rPr>
          <w:i/>
          <w:iCs/>
          <w:vertAlign w:val="superscript"/>
          <w:lang w:val="fr-FR"/>
        </w:rPr>
        <w:t>o</w:t>
      </w:r>
      <w:r w:rsidRPr="002E5CE7">
        <w:rPr>
          <w:i/>
          <w:iCs/>
          <w:lang w:val="fr-FR"/>
        </w:rPr>
        <w:t xml:space="preserve"> 3)</w:t>
      </w:r>
      <w:r w:rsidRPr="002E5CE7">
        <w:rPr>
          <w:lang w:val="fr-FR"/>
        </w:rPr>
        <w:t>, n</w:t>
      </w:r>
      <w:r w:rsidRPr="002E5CE7">
        <w:rPr>
          <w:vertAlign w:val="superscript"/>
          <w:lang w:val="fr-FR"/>
        </w:rPr>
        <w:t>o</w:t>
      </w:r>
      <w:r w:rsidRPr="002E5CE7">
        <w:rPr>
          <w:lang w:val="fr-FR"/>
        </w:rPr>
        <w:t xml:space="preserve"> 43662/98, 17</w:t>
      </w:r>
      <w:r>
        <w:rPr>
          <w:lang w:val="fr-FR"/>
        </w:rPr>
        <w:t> </w:t>
      </w:r>
      <w:r w:rsidRPr="002E5CE7">
        <w:rPr>
          <w:lang w:val="fr-FR"/>
        </w:rPr>
        <w:t>mai</w:t>
      </w:r>
      <w:r w:rsidR="00F45B72">
        <w:rPr>
          <w:lang w:val="fr-FR"/>
        </w:rPr>
        <w:t xml:space="preserve"> 2005 </w:t>
      </w:r>
      <w:r w:rsidRPr="002E5CE7">
        <w:rPr>
          <w:lang w:val="fr-FR"/>
        </w:rPr>
        <w:t xml:space="preserve">; </w:t>
      </w:r>
      <w:proofErr w:type="spellStart"/>
      <w:r w:rsidRPr="002E5CE7">
        <w:rPr>
          <w:i/>
          <w:lang w:val="fr-FR"/>
        </w:rPr>
        <w:t>Velocci</w:t>
      </w:r>
      <w:proofErr w:type="spellEnd"/>
      <w:r w:rsidRPr="002E5CE7">
        <w:rPr>
          <w:i/>
          <w:lang w:val="fr-FR"/>
        </w:rPr>
        <w:t xml:space="preserve"> c. Italie</w:t>
      </w:r>
      <w:r w:rsidRPr="002E5CE7">
        <w:rPr>
          <w:lang w:val="fr-FR"/>
        </w:rPr>
        <w:t>, n</w:t>
      </w:r>
      <w:r w:rsidRPr="002E5CE7">
        <w:rPr>
          <w:vertAlign w:val="superscript"/>
          <w:lang w:val="fr-FR"/>
        </w:rPr>
        <w:t>o</w:t>
      </w:r>
      <w:r w:rsidRPr="002E5CE7">
        <w:rPr>
          <w:lang w:val="fr-FR"/>
        </w:rPr>
        <w:t xml:space="preserve"> 1717/03, 18 mars 2008) pour la récapitulation des principes pertinents et pour un aperçu de sa jurisprudence dans la matière.</w:t>
      </w:r>
    </w:p>
    <w:p w:rsidR="00F32B22" w:rsidRPr="002E5CE7" w:rsidRDefault="00F32B22" w:rsidP="00F32B22">
      <w:pPr>
        <w:pStyle w:val="ECHRPara"/>
        <w:rPr>
          <w:lang w:val="fr-FR"/>
        </w:rPr>
      </w:pPr>
      <w:r w:rsidRPr="002E5CE7">
        <w:fldChar w:fldCharType="begin"/>
      </w:r>
      <w:r w:rsidRPr="002E5CE7">
        <w:rPr>
          <w:lang w:val="fr-FR"/>
        </w:rPr>
        <w:instrText xml:space="preserve"> SEQ level0 \*arabic </w:instrText>
      </w:r>
      <w:r w:rsidRPr="002E5CE7">
        <w:fldChar w:fldCharType="separate"/>
      </w:r>
      <w:r w:rsidR="00EB773E">
        <w:rPr>
          <w:noProof/>
          <w:lang w:val="fr-FR"/>
        </w:rPr>
        <w:t>25</w:t>
      </w:r>
      <w:r w:rsidRPr="002E5CE7">
        <w:rPr>
          <w:noProof/>
        </w:rPr>
        <w:fldChar w:fldCharType="end"/>
      </w:r>
      <w:r w:rsidRPr="002E5CE7">
        <w:rPr>
          <w:lang w:val="fr-FR"/>
        </w:rPr>
        <w:t xml:space="preserve">.  Dans la présente affaire, la Cour relève que les juridictions internes ont considéré les requérants privés de leur bien </w:t>
      </w:r>
      <w:r w:rsidRPr="002E5CE7">
        <w:rPr>
          <w:lang w:val="fr-FR" w:eastAsia="en-GB"/>
        </w:rPr>
        <w:t>à compter de</w:t>
      </w:r>
      <w:r w:rsidRPr="002E5CE7">
        <w:rPr>
          <w:lang w:val="fr-FR"/>
        </w:rPr>
        <w:t xml:space="preserve"> la date de la transformation irréversible du terrain. Or, en l</w:t>
      </w:r>
      <w:r w:rsidR="008D2733">
        <w:rPr>
          <w:lang w:val="fr-FR"/>
        </w:rPr>
        <w:t>’</w:t>
      </w:r>
      <w:r w:rsidRPr="002E5CE7">
        <w:rPr>
          <w:lang w:val="fr-FR"/>
        </w:rPr>
        <w:t>absence d</w:t>
      </w:r>
      <w:r w:rsidR="008D2733">
        <w:rPr>
          <w:lang w:val="fr-FR"/>
        </w:rPr>
        <w:t>’</w:t>
      </w:r>
      <w:r w:rsidRPr="002E5CE7">
        <w:rPr>
          <w:lang w:val="fr-FR"/>
        </w:rPr>
        <w:t>un acte formel d</w:t>
      </w:r>
      <w:r w:rsidR="008D2733">
        <w:rPr>
          <w:lang w:val="fr-FR"/>
        </w:rPr>
        <w:t>’</w:t>
      </w:r>
      <w:r w:rsidRPr="002E5CE7">
        <w:rPr>
          <w:lang w:val="fr-FR"/>
        </w:rPr>
        <w:t xml:space="preserve">expropriation, la Cour estime que cette situation ne saurait être considérée </w:t>
      </w:r>
      <w:r w:rsidRPr="002E5CE7">
        <w:rPr>
          <w:lang w:val="fr-FR"/>
        </w:rPr>
        <w:lastRenderedPageBreak/>
        <w:t>comme « prévisible », puisque ce n</w:t>
      </w:r>
      <w:r w:rsidR="008D2733">
        <w:rPr>
          <w:lang w:val="fr-FR"/>
        </w:rPr>
        <w:t>’</w:t>
      </w:r>
      <w:r w:rsidRPr="002E5CE7">
        <w:rPr>
          <w:lang w:val="fr-FR"/>
        </w:rPr>
        <w:t>est que par la décision judiciaire définitive que l</w:t>
      </w:r>
      <w:r w:rsidR="008D2733">
        <w:rPr>
          <w:lang w:val="fr-FR"/>
        </w:rPr>
        <w:t>’</w:t>
      </w:r>
      <w:r w:rsidRPr="002E5CE7">
        <w:rPr>
          <w:lang w:val="fr-FR"/>
        </w:rPr>
        <w:t>on peut considérer que les requérants ont perdu la propriété du terrain en faveur des pouvoirs publics. Par conséquent, les requérants n</w:t>
      </w:r>
      <w:r w:rsidR="008D2733">
        <w:rPr>
          <w:lang w:val="fr-FR"/>
        </w:rPr>
        <w:t>’</w:t>
      </w:r>
      <w:r w:rsidRPr="002E5CE7">
        <w:rPr>
          <w:lang w:val="fr-FR"/>
        </w:rPr>
        <w:t>ont eu la « sécurité juridique » concernant la privation de leur terrain qu</w:t>
      </w:r>
      <w:r w:rsidR="008D2733">
        <w:rPr>
          <w:lang w:val="fr-FR"/>
        </w:rPr>
        <w:t>’</w:t>
      </w:r>
      <w:r w:rsidRPr="002E5CE7">
        <w:rPr>
          <w:lang w:val="fr-FR"/>
        </w:rPr>
        <w:t>au plus tard le 15 juin 2006, date à laquelle l</w:t>
      </w:r>
      <w:r w:rsidR="008D2733">
        <w:rPr>
          <w:lang w:val="fr-FR"/>
        </w:rPr>
        <w:t>’</w:t>
      </w:r>
      <w:r w:rsidRPr="002E5CE7">
        <w:rPr>
          <w:lang w:val="fr-FR"/>
        </w:rPr>
        <w:t>arrêt du tribunal d</w:t>
      </w:r>
      <w:r w:rsidR="008D2733">
        <w:rPr>
          <w:lang w:val="fr-FR"/>
        </w:rPr>
        <w:t>’</w:t>
      </w:r>
      <w:r w:rsidRPr="002E5CE7">
        <w:rPr>
          <w:lang w:val="fr-FR"/>
        </w:rPr>
        <w:t>Agrigente est devenu définitif.</w:t>
      </w:r>
    </w:p>
    <w:p w:rsidR="00F32B22" w:rsidRPr="002E5CE7" w:rsidRDefault="00F32B22" w:rsidP="00F32B22">
      <w:pPr>
        <w:pStyle w:val="ECHRPara"/>
        <w:rPr>
          <w:lang w:val="fr-FR"/>
        </w:rPr>
      </w:pPr>
      <w:r w:rsidRPr="002E5CE7">
        <w:fldChar w:fldCharType="begin"/>
      </w:r>
      <w:r w:rsidRPr="002E5CE7">
        <w:rPr>
          <w:lang w:val="fr-FR"/>
        </w:rPr>
        <w:instrText xml:space="preserve"> SEQ level0 \*arabic </w:instrText>
      </w:r>
      <w:r w:rsidRPr="002E5CE7">
        <w:fldChar w:fldCharType="separate"/>
      </w:r>
      <w:r w:rsidR="00EB773E">
        <w:rPr>
          <w:noProof/>
          <w:lang w:val="fr-FR"/>
        </w:rPr>
        <w:t>26</w:t>
      </w:r>
      <w:r w:rsidRPr="002E5CE7">
        <w:rPr>
          <w:noProof/>
        </w:rPr>
        <w:fldChar w:fldCharType="end"/>
      </w:r>
      <w:r w:rsidRPr="002E5CE7">
        <w:rPr>
          <w:lang w:val="fr-FR"/>
        </w:rPr>
        <w:t>. La Cour estime que l</w:t>
      </w:r>
      <w:r w:rsidR="008D2733">
        <w:rPr>
          <w:lang w:val="fr-FR"/>
        </w:rPr>
        <w:t>’</w:t>
      </w:r>
      <w:r w:rsidRPr="002E5CE7">
        <w:rPr>
          <w:lang w:val="fr-FR"/>
        </w:rPr>
        <w:t>ingérence litigieuse n</w:t>
      </w:r>
      <w:r w:rsidR="008D2733">
        <w:rPr>
          <w:lang w:val="fr-FR"/>
        </w:rPr>
        <w:t>’</w:t>
      </w:r>
      <w:r w:rsidRPr="002E5CE7">
        <w:rPr>
          <w:lang w:val="fr-FR"/>
        </w:rPr>
        <w:t>est pas compatible avec le principe de légalité et qu</w:t>
      </w:r>
      <w:r w:rsidR="008D2733">
        <w:rPr>
          <w:lang w:val="fr-FR"/>
        </w:rPr>
        <w:t>’</w:t>
      </w:r>
      <w:r w:rsidRPr="002E5CE7">
        <w:rPr>
          <w:lang w:val="fr-FR"/>
        </w:rPr>
        <w:t>elle a donc enfreint le droit au respect des biens des requérants en violation de l</w:t>
      </w:r>
      <w:r w:rsidR="008D2733">
        <w:rPr>
          <w:lang w:val="fr-FR"/>
        </w:rPr>
        <w:t>’</w:t>
      </w:r>
      <w:r w:rsidRPr="002E5CE7">
        <w:rPr>
          <w:lang w:val="fr-FR"/>
        </w:rPr>
        <w:t>article 1 du Protocole n</w:t>
      </w:r>
      <w:r w:rsidRPr="002E5CE7">
        <w:rPr>
          <w:vertAlign w:val="superscript"/>
          <w:lang w:val="fr-FR"/>
        </w:rPr>
        <w:t>o</w:t>
      </w:r>
      <w:r w:rsidRPr="002E5CE7">
        <w:rPr>
          <w:lang w:val="fr-FR"/>
        </w:rPr>
        <w:t xml:space="preserve"> 1.</w:t>
      </w:r>
    </w:p>
    <w:p w:rsidR="00F32B22" w:rsidRPr="002E5CE7" w:rsidRDefault="00F32B22" w:rsidP="00F32B22">
      <w:pPr>
        <w:pStyle w:val="ECHRPara"/>
        <w:rPr>
          <w:lang w:val="fr-FR"/>
        </w:rPr>
      </w:pPr>
      <w:r w:rsidRPr="002E5CE7">
        <w:rPr>
          <w:lang w:val="fr-FR"/>
        </w:rPr>
        <w:fldChar w:fldCharType="begin"/>
      </w:r>
      <w:r w:rsidRPr="002E5CE7">
        <w:rPr>
          <w:lang w:val="fr-FR"/>
        </w:rPr>
        <w:instrText xml:space="preserve"> SEQ level0 \*arabic </w:instrText>
      </w:r>
      <w:r w:rsidRPr="002E5CE7">
        <w:rPr>
          <w:lang w:val="fr-FR"/>
        </w:rPr>
        <w:fldChar w:fldCharType="separate"/>
      </w:r>
      <w:r w:rsidR="00EB773E">
        <w:rPr>
          <w:noProof/>
          <w:lang w:val="fr-FR"/>
        </w:rPr>
        <w:t>27</w:t>
      </w:r>
      <w:r w:rsidRPr="002E5CE7">
        <w:rPr>
          <w:lang w:val="fr-FR"/>
        </w:rPr>
        <w:fldChar w:fldCharType="end"/>
      </w:r>
      <w:r w:rsidRPr="002E5CE7">
        <w:rPr>
          <w:lang w:val="fr-FR"/>
        </w:rPr>
        <w:t>.  Dès lors, l</w:t>
      </w:r>
      <w:r w:rsidR="008D2733">
        <w:rPr>
          <w:lang w:val="fr-FR"/>
        </w:rPr>
        <w:t>’</w:t>
      </w:r>
      <w:r w:rsidRPr="002E5CE7">
        <w:rPr>
          <w:lang w:val="fr-FR"/>
        </w:rPr>
        <w:t>exception tirée de l</w:t>
      </w:r>
      <w:r w:rsidR="008D2733">
        <w:rPr>
          <w:lang w:val="fr-FR"/>
        </w:rPr>
        <w:t>’</w:t>
      </w:r>
      <w:r w:rsidRPr="002E5CE7">
        <w:rPr>
          <w:lang w:val="fr-FR"/>
        </w:rPr>
        <w:t>absence de qualité de victime des requérants ne saurait être retenue et il y a eu violation de l</w:t>
      </w:r>
      <w:r w:rsidR="008D2733">
        <w:rPr>
          <w:lang w:val="fr-FR"/>
        </w:rPr>
        <w:t>’</w:t>
      </w:r>
      <w:r w:rsidRPr="002E5CE7">
        <w:rPr>
          <w:lang w:val="fr-FR"/>
        </w:rPr>
        <w:t>article 1 du Protocole no 1.</w:t>
      </w:r>
    </w:p>
    <w:p w:rsidR="00F32B22" w:rsidRPr="00440876" w:rsidRDefault="00F32B22" w:rsidP="00F32B22">
      <w:pPr>
        <w:pStyle w:val="ECHRHeading1"/>
        <w:rPr>
          <w:lang w:val="fr-FR"/>
        </w:rPr>
      </w:pPr>
      <w:r w:rsidRPr="002E5CE7">
        <w:rPr>
          <w:lang w:val="fr-FR"/>
        </w:rPr>
        <w:t>II.  SUR L</w:t>
      </w:r>
      <w:r w:rsidR="008D2733">
        <w:rPr>
          <w:lang w:val="fr-FR"/>
        </w:rPr>
        <w:t>’</w:t>
      </w:r>
      <w:r w:rsidRPr="002E5CE7">
        <w:rPr>
          <w:lang w:val="fr-FR"/>
        </w:rPr>
        <w:t>APPLICATION</w:t>
      </w:r>
      <w:r w:rsidRPr="00440876">
        <w:rPr>
          <w:lang w:val="fr-FR"/>
        </w:rPr>
        <w:t xml:space="preserve"> DE L</w:t>
      </w:r>
      <w:r w:rsidR="008D2733">
        <w:rPr>
          <w:lang w:val="fr-FR"/>
        </w:rPr>
        <w:t>’</w:t>
      </w:r>
      <w:r w:rsidRPr="00440876">
        <w:rPr>
          <w:lang w:val="fr-FR"/>
        </w:rPr>
        <w:t>ARTICLE 41 DE LA CONVENTION</w:t>
      </w:r>
    </w:p>
    <w:p w:rsidR="00F32B22" w:rsidRPr="00F45B72" w:rsidRDefault="00531C56" w:rsidP="00F45B72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EB773E" w:rsidRPr="00F45B72">
        <w:t>28</w:t>
      </w:r>
      <w:r>
        <w:fldChar w:fldCharType="end"/>
      </w:r>
      <w:r w:rsidR="00F32B22" w:rsidRPr="00F45B72">
        <w:t>.  </w:t>
      </w:r>
      <w:r w:rsidR="00F32B22" w:rsidRPr="00F45B72">
        <w:rPr>
          <w:lang w:val="fr-FR"/>
        </w:rPr>
        <w:t>Aux termes de l</w:t>
      </w:r>
      <w:r w:rsidR="008D2733">
        <w:rPr>
          <w:lang w:val="fr-FR"/>
        </w:rPr>
        <w:t>’</w:t>
      </w:r>
      <w:r w:rsidR="00F32B22" w:rsidRPr="00F45B72">
        <w:rPr>
          <w:lang w:val="fr-FR"/>
        </w:rPr>
        <w:t>article 41 de la Convention,</w:t>
      </w:r>
    </w:p>
    <w:p w:rsidR="00F32B22" w:rsidRPr="00440876" w:rsidRDefault="00F32B22" w:rsidP="00F32B22">
      <w:pPr>
        <w:pStyle w:val="ECHRParaQuote"/>
        <w:keepNext/>
        <w:keepLines/>
        <w:rPr>
          <w:lang w:val="fr-FR"/>
        </w:rPr>
      </w:pPr>
      <w:r w:rsidRPr="00440876">
        <w:rPr>
          <w:lang w:val="fr-FR"/>
        </w:rPr>
        <w:t>« Si la Cour déclare qu</w:t>
      </w:r>
      <w:r w:rsidR="008D2733">
        <w:rPr>
          <w:lang w:val="fr-FR"/>
        </w:rPr>
        <w:t>’</w:t>
      </w:r>
      <w:r w:rsidRPr="00440876">
        <w:rPr>
          <w:lang w:val="fr-FR"/>
        </w:rPr>
        <w:t>il y a eu violation de la Convention ou de ses Protocoles, et si le droit interne de la Haute Partie contractante ne permet d</w:t>
      </w:r>
      <w:r w:rsidR="008D2733">
        <w:rPr>
          <w:lang w:val="fr-FR"/>
        </w:rPr>
        <w:t>’</w:t>
      </w:r>
      <w:r w:rsidRPr="00440876">
        <w:rPr>
          <w:lang w:val="fr-FR"/>
        </w:rPr>
        <w:t>effacer qu</w:t>
      </w:r>
      <w:r w:rsidR="008D2733">
        <w:rPr>
          <w:lang w:val="fr-FR"/>
        </w:rPr>
        <w:t>’</w:t>
      </w:r>
      <w:r w:rsidRPr="00440876">
        <w:rPr>
          <w:lang w:val="fr-FR"/>
        </w:rPr>
        <w:t>imparfaitement les conséquences de cette violation, la Cour accorde à la partie lésée, s</w:t>
      </w:r>
      <w:r w:rsidR="008D2733">
        <w:rPr>
          <w:lang w:val="fr-FR"/>
        </w:rPr>
        <w:t>’</w:t>
      </w:r>
      <w:r w:rsidRPr="00440876">
        <w:rPr>
          <w:lang w:val="fr-FR"/>
        </w:rPr>
        <w:t>il y a lieu, une satisfaction équitable. »</w:t>
      </w:r>
    </w:p>
    <w:p w:rsidR="00F32B22" w:rsidRPr="00440876" w:rsidRDefault="00F32B22" w:rsidP="00F45B72">
      <w:pPr>
        <w:pStyle w:val="ECHRHeading2"/>
        <w:rPr>
          <w:lang w:val="fr-FR"/>
        </w:rPr>
      </w:pPr>
      <w:r w:rsidRPr="00440876">
        <w:rPr>
          <w:lang w:val="fr-FR"/>
        </w:rPr>
        <w:t>A.  Dommage matériel</w:t>
      </w:r>
    </w:p>
    <w:p w:rsidR="00F45B72" w:rsidRDefault="00F32B22" w:rsidP="00F32B22">
      <w:pPr>
        <w:pStyle w:val="ECHRPara"/>
        <w:rPr>
          <w:lang w:val="fr-FR"/>
        </w:rPr>
      </w:pPr>
      <w:r w:rsidRPr="008D7269">
        <w:fldChar w:fldCharType="begin"/>
      </w:r>
      <w:r w:rsidRPr="008D7269">
        <w:rPr>
          <w:lang w:val="fr-FR"/>
        </w:rPr>
        <w:instrText xml:space="preserve"> SEQ level0 \*arabic </w:instrText>
      </w:r>
      <w:r w:rsidRPr="008D7269">
        <w:fldChar w:fldCharType="separate"/>
      </w:r>
      <w:r w:rsidR="00EB773E">
        <w:rPr>
          <w:noProof/>
          <w:lang w:val="fr-FR"/>
        </w:rPr>
        <w:t>29</w:t>
      </w:r>
      <w:r w:rsidRPr="008D7269">
        <w:rPr>
          <w:noProof/>
        </w:rPr>
        <w:fldChar w:fldCharType="end"/>
      </w:r>
      <w:r w:rsidRPr="008D7269">
        <w:rPr>
          <w:lang w:val="fr-FR"/>
        </w:rPr>
        <w:t>.  Les requérants sollicitent un dédommagement de 11 700 EUR, plus intérêts et réévaluation.</w:t>
      </w:r>
    </w:p>
    <w:p w:rsidR="00F45B72" w:rsidRPr="00F45B72" w:rsidRDefault="00F32B22" w:rsidP="00F45B72">
      <w:pPr>
        <w:pStyle w:val="ECHRPara"/>
        <w:rPr>
          <w:lang w:val="fr-FR"/>
        </w:rPr>
      </w:pPr>
      <w:r w:rsidRPr="00F45B72">
        <w:fldChar w:fldCharType="begin"/>
      </w:r>
      <w:r w:rsidRPr="00F45B72">
        <w:rPr>
          <w:lang w:val="fr-FR"/>
        </w:rPr>
        <w:instrText xml:space="preserve"> SEQ level0 \*arabic </w:instrText>
      </w:r>
      <w:r w:rsidRPr="00F45B72">
        <w:fldChar w:fldCharType="separate"/>
      </w:r>
      <w:r w:rsidR="00EB773E" w:rsidRPr="00F45B72">
        <w:rPr>
          <w:lang w:val="fr-FR"/>
        </w:rPr>
        <w:t>30</w:t>
      </w:r>
      <w:r w:rsidRPr="00F45B72">
        <w:fldChar w:fldCharType="end"/>
      </w:r>
      <w:r w:rsidRPr="00F45B72">
        <w:rPr>
          <w:lang w:val="fr-FR"/>
        </w:rPr>
        <w:t>.  Le Gouvernement s</w:t>
      </w:r>
      <w:r w:rsidR="008D2733">
        <w:rPr>
          <w:lang w:val="fr-FR"/>
        </w:rPr>
        <w:t>’</w:t>
      </w:r>
      <w:r w:rsidRPr="00F45B72">
        <w:rPr>
          <w:lang w:val="fr-FR"/>
        </w:rPr>
        <w:t>oppose et fait valoir que les requérants</w:t>
      </w:r>
      <w:r w:rsidR="00F45B72" w:rsidRPr="00F45B72">
        <w:rPr>
          <w:lang w:val="fr-FR"/>
        </w:rPr>
        <w:t xml:space="preserve"> </w:t>
      </w:r>
      <w:r w:rsidRPr="00F45B72">
        <w:rPr>
          <w:lang w:val="fr-FR"/>
        </w:rPr>
        <w:t>ont obtenu un dédommagement correspondant à la valeur vénale du terrain, en conformité aux critères élaborés par la jurisprudence de la Cour.</w:t>
      </w:r>
    </w:p>
    <w:p w:rsidR="00F32B22" w:rsidRPr="00F45B72" w:rsidRDefault="00F32B22" w:rsidP="00F45B72">
      <w:pPr>
        <w:pStyle w:val="ECHRPara"/>
        <w:rPr>
          <w:lang w:val="fr-FR"/>
        </w:rPr>
      </w:pPr>
      <w:r w:rsidRPr="00F45B72">
        <w:fldChar w:fldCharType="begin"/>
      </w:r>
      <w:r w:rsidRPr="00F45B72">
        <w:rPr>
          <w:lang w:val="fr-FR"/>
        </w:rPr>
        <w:instrText xml:space="preserve"> SEQ level0 \*arabic </w:instrText>
      </w:r>
      <w:r w:rsidRPr="00F45B72">
        <w:fldChar w:fldCharType="separate"/>
      </w:r>
      <w:r w:rsidR="00EB773E" w:rsidRPr="00F45B72">
        <w:rPr>
          <w:lang w:val="fr-FR"/>
        </w:rPr>
        <w:t>31</w:t>
      </w:r>
      <w:r w:rsidRPr="00F45B72">
        <w:fldChar w:fldCharType="end"/>
      </w:r>
      <w:r w:rsidRPr="00F45B72">
        <w:rPr>
          <w:lang w:val="fr-FR"/>
        </w:rPr>
        <w:t>.  La Cour rappelle qu</w:t>
      </w:r>
      <w:r w:rsidR="008D2733">
        <w:rPr>
          <w:lang w:val="fr-FR"/>
        </w:rPr>
        <w:t>’</w:t>
      </w:r>
      <w:r w:rsidRPr="00F45B72">
        <w:rPr>
          <w:lang w:val="fr-FR"/>
        </w:rPr>
        <w:t>un arrêt constatant une violation entraîne pour l</w:t>
      </w:r>
      <w:r w:rsidR="008D2733">
        <w:rPr>
          <w:lang w:val="fr-FR"/>
        </w:rPr>
        <w:t>’</w:t>
      </w:r>
      <w:r w:rsidRPr="00F45B72">
        <w:rPr>
          <w:lang w:val="fr-FR"/>
        </w:rPr>
        <w:t>État défendeur l</w:t>
      </w:r>
      <w:r w:rsidR="008D2733">
        <w:rPr>
          <w:lang w:val="fr-FR"/>
        </w:rPr>
        <w:t>’</w:t>
      </w:r>
      <w:r w:rsidRPr="00F45B72">
        <w:rPr>
          <w:lang w:val="fr-FR"/>
        </w:rPr>
        <w:t>obligation de mettre un terme à la violation et d</w:t>
      </w:r>
      <w:r w:rsidR="008D2733">
        <w:rPr>
          <w:lang w:val="fr-FR"/>
        </w:rPr>
        <w:t>’</w:t>
      </w:r>
      <w:r w:rsidRPr="00F45B72">
        <w:rPr>
          <w:lang w:val="fr-FR"/>
        </w:rPr>
        <w:t>en effacer les conséquences de manière à rétablir autant que faire se peut la situation antérieure à celle-ci (</w:t>
      </w:r>
      <w:proofErr w:type="spellStart"/>
      <w:r w:rsidRPr="00F45B72">
        <w:rPr>
          <w:i/>
          <w:lang w:val="fr-FR"/>
        </w:rPr>
        <w:t>Iatridis</w:t>
      </w:r>
      <w:proofErr w:type="spellEnd"/>
      <w:r w:rsidRPr="00F45B72">
        <w:rPr>
          <w:i/>
          <w:lang w:val="fr-FR"/>
        </w:rPr>
        <w:t xml:space="preserve"> c. Grèce</w:t>
      </w:r>
      <w:r w:rsidRPr="00F45B72">
        <w:rPr>
          <w:lang w:val="fr-FR"/>
        </w:rPr>
        <w:t xml:space="preserve"> (satisfaction équitable) [GC], nº 31107/96, § 32, CEDH 2000-XI).</w:t>
      </w:r>
    </w:p>
    <w:p w:rsidR="00F32B22" w:rsidRPr="00440876" w:rsidRDefault="00F32B22" w:rsidP="00F32B22">
      <w:pPr>
        <w:pStyle w:val="ECHRPara"/>
        <w:rPr>
          <w:lang w:val="fr-FR"/>
        </w:rPr>
      </w:pPr>
      <w:r>
        <w:rPr>
          <w:szCs w:val="24"/>
          <w:lang w:eastAsia="en-GB"/>
        </w:rPr>
        <w:fldChar w:fldCharType="begin"/>
      </w:r>
      <w:r w:rsidRPr="00440876">
        <w:rPr>
          <w:szCs w:val="24"/>
          <w:lang w:val="fr-FR" w:eastAsia="en-GB"/>
        </w:rPr>
        <w:instrText xml:space="preserve"> SEQ level0 \*arabic </w:instrText>
      </w:r>
      <w:r>
        <w:rPr>
          <w:szCs w:val="24"/>
          <w:lang w:eastAsia="en-GB"/>
        </w:rPr>
        <w:fldChar w:fldCharType="separate"/>
      </w:r>
      <w:r w:rsidR="00EB773E">
        <w:rPr>
          <w:noProof/>
          <w:szCs w:val="24"/>
          <w:lang w:val="fr-FR" w:eastAsia="en-GB"/>
        </w:rPr>
        <w:t>32</w:t>
      </w:r>
      <w:r>
        <w:rPr>
          <w:szCs w:val="24"/>
          <w:lang w:eastAsia="en-GB"/>
        </w:rPr>
        <w:fldChar w:fldCharType="end"/>
      </w:r>
      <w:r w:rsidRPr="00440876">
        <w:rPr>
          <w:szCs w:val="24"/>
          <w:lang w:val="fr-FR" w:eastAsia="en-GB"/>
        </w:rPr>
        <w:t>.  Elle rappelle que dans l</w:t>
      </w:r>
      <w:r w:rsidR="008D2733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 xml:space="preserve">affaire </w:t>
      </w:r>
      <w:proofErr w:type="spellStart"/>
      <w:r w:rsidRPr="00440876">
        <w:rPr>
          <w:i/>
          <w:iCs/>
          <w:szCs w:val="24"/>
          <w:lang w:val="fr-FR" w:eastAsia="en-GB"/>
        </w:rPr>
        <w:t>Guiso-Gallisay</w:t>
      </w:r>
      <w:proofErr w:type="spellEnd"/>
      <w:r w:rsidRPr="00440876">
        <w:rPr>
          <w:i/>
          <w:iCs/>
          <w:szCs w:val="24"/>
          <w:lang w:val="fr-FR" w:eastAsia="en-GB"/>
        </w:rPr>
        <w:t xml:space="preserve"> c. Italie</w:t>
      </w:r>
      <w:r w:rsidRPr="00440876">
        <w:rPr>
          <w:szCs w:val="24"/>
          <w:lang w:val="fr-FR" w:eastAsia="en-GB"/>
        </w:rPr>
        <w:t xml:space="preserve"> (satisfaction équitable) [GC], nº 58858/00, 22 décembre 2009, la Grande Chambre a modifié la jurisprudence de la Cour concernant les critères d</w:t>
      </w:r>
      <w:r w:rsidR="008D2733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>indemnisation dans les affaires d</w:t>
      </w:r>
      <w:r w:rsidR="008D2733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>expropriation indirecte. En particulier, elle a décidé d</w:t>
      </w:r>
      <w:r w:rsidR="008D2733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>écarter les prétentions des requérants dans la mesure où elles sont fondées sur la valeur des terrains à la date de l</w:t>
      </w:r>
      <w:r w:rsidR="008D2733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 xml:space="preserve">arrêt de la Cour et de ne plus tenir </w:t>
      </w:r>
      <w:r w:rsidRPr="00440876">
        <w:rPr>
          <w:lang w:val="fr-FR"/>
        </w:rPr>
        <w:t>compte, pour évaluer le dommage matériel, du coût de construction des immeubles bâtis par l</w:t>
      </w:r>
      <w:r w:rsidR="008D2733">
        <w:rPr>
          <w:lang w:val="fr-FR"/>
        </w:rPr>
        <w:t>’</w:t>
      </w:r>
      <w:r w:rsidRPr="00440876">
        <w:rPr>
          <w:lang w:val="fr-FR"/>
        </w:rPr>
        <w:t>État sur les terrains.</w:t>
      </w:r>
    </w:p>
    <w:p w:rsidR="00F32B22" w:rsidRPr="00440876" w:rsidRDefault="00F32B22" w:rsidP="00F32B22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EB773E">
        <w:rPr>
          <w:noProof/>
          <w:lang w:val="fr-FR"/>
        </w:rPr>
        <w:t>33</w:t>
      </w:r>
      <w:r>
        <w:rPr>
          <w:noProof/>
        </w:rPr>
        <w:fldChar w:fldCharType="end"/>
      </w:r>
      <w:r w:rsidRPr="00440876">
        <w:rPr>
          <w:lang w:val="fr-FR"/>
        </w:rPr>
        <w:t>.  L</w:t>
      </w:r>
      <w:r w:rsidR="008D2733">
        <w:rPr>
          <w:lang w:val="fr-FR"/>
        </w:rPr>
        <w:t>’</w:t>
      </w:r>
      <w:r w:rsidRPr="00440876">
        <w:rPr>
          <w:lang w:val="fr-FR"/>
        </w:rPr>
        <w:t>indemnisation doit donc correspondre à la valeur pleine et entière du terrain au moment de la perte de la propriété, telle qu</w:t>
      </w:r>
      <w:r w:rsidR="008D2733">
        <w:rPr>
          <w:lang w:val="fr-FR"/>
        </w:rPr>
        <w:t>’</w:t>
      </w:r>
      <w:r w:rsidRPr="00440876">
        <w:rPr>
          <w:lang w:val="fr-FR"/>
        </w:rPr>
        <w:t>établie par l</w:t>
      </w:r>
      <w:r w:rsidR="008D2733">
        <w:rPr>
          <w:lang w:val="fr-FR"/>
        </w:rPr>
        <w:t>’</w:t>
      </w:r>
      <w:r w:rsidRPr="00440876">
        <w:rPr>
          <w:lang w:val="fr-FR"/>
        </w:rPr>
        <w:t xml:space="preserve">expertise ordonnée par la juridiction compétente au cours de la procédure </w:t>
      </w:r>
      <w:r w:rsidRPr="00440876">
        <w:rPr>
          <w:lang w:val="fr-FR"/>
        </w:rPr>
        <w:lastRenderedPageBreak/>
        <w:t>interne. Ensuite, une fois que l</w:t>
      </w:r>
      <w:r w:rsidR="008D2733">
        <w:rPr>
          <w:lang w:val="fr-FR"/>
        </w:rPr>
        <w:t>’</w:t>
      </w:r>
      <w:r w:rsidRPr="00440876">
        <w:rPr>
          <w:lang w:val="fr-FR"/>
        </w:rPr>
        <w:t>on aura déduit la somme éventuellement octroyée au niveau national, ce montant doit être actualisé pour compenser les effets de l</w:t>
      </w:r>
      <w:r w:rsidR="008D2733">
        <w:rPr>
          <w:lang w:val="fr-FR"/>
        </w:rPr>
        <w:t>’</w:t>
      </w:r>
      <w:r w:rsidRPr="00440876">
        <w:rPr>
          <w:lang w:val="fr-FR"/>
        </w:rPr>
        <w:t>inflation. Il convient aussi de l</w:t>
      </w:r>
      <w:r w:rsidR="008D2733">
        <w:rPr>
          <w:lang w:val="fr-FR"/>
        </w:rPr>
        <w:t>’</w:t>
      </w:r>
      <w:r w:rsidRPr="00440876">
        <w:rPr>
          <w:lang w:val="fr-FR"/>
        </w:rPr>
        <w:t>assortir d</w:t>
      </w:r>
      <w:r w:rsidR="008D2733">
        <w:rPr>
          <w:lang w:val="fr-FR"/>
        </w:rPr>
        <w:t>’</w:t>
      </w:r>
      <w:r w:rsidRPr="00440876">
        <w:rPr>
          <w:lang w:val="fr-FR"/>
        </w:rPr>
        <w:t>intérêts susceptibles de compenser, au moins en partie, le long laps de temps qui s</w:t>
      </w:r>
      <w:r w:rsidR="008D2733">
        <w:rPr>
          <w:lang w:val="fr-FR"/>
        </w:rPr>
        <w:t>’</w:t>
      </w:r>
      <w:r w:rsidRPr="00440876">
        <w:rPr>
          <w:lang w:val="fr-FR"/>
        </w:rPr>
        <w:t>est écoulé depuis la dépossession des terrains.</w:t>
      </w:r>
    </w:p>
    <w:p w:rsidR="00F45B72" w:rsidRDefault="00F32B22" w:rsidP="00F32B22">
      <w:pPr>
        <w:pStyle w:val="ECHRPara"/>
        <w:rPr>
          <w:lang w:val="fr-FR" w:eastAsia="en-GB"/>
        </w:rPr>
      </w:pPr>
      <w:r w:rsidRPr="00FB0CCF">
        <w:rPr>
          <w:lang w:eastAsia="en-GB"/>
        </w:rPr>
        <w:fldChar w:fldCharType="begin"/>
      </w:r>
      <w:r w:rsidRPr="00FB0CCF">
        <w:rPr>
          <w:lang w:val="fr-FR" w:eastAsia="en-GB"/>
        </w:rPr>
        <w:instrText xml:space="preserve"> SEQ level0 \*arabic </w:instrText>
      </w:r>
      <w:r w:rsidRPr="00FB0CCF">
        <w:rPr>
          <w:lang w:eastAsia="en-GB"/>
        </w:rPr>
        <w:fldChar w:fldCharType="separate"/>
      </w:r>
      <w:r w:rsidR="00EB773E">
        <w:rPr>
          <w:noProof/>
          <w:lang w:val="fr-FR" w:eastAsia="en-GB"/>
        </w:rPr>
        <w:t>34</w:t>
      </w:r>
      <w:r w:rsidRPr="00FB0CCF">
        <w:rPr>
          <w:lang w:eastAsia="en-GB"/>
        </w:rPr>
        <w:fldChar w:fldCharType="end"/>
      </w:r>
      <w:r w:rsidRPr="00FB0CCF">
        <w:rPr>
          <w:lang w:val="fr-FR" w:eastAsia="en-GB"/>
        </w:rPr>
        <w:t>.  La Cour observe que les requérants ont reçu au niveau national une somme correspondant à la valeur vénale de leur terrain, réévaluée et assortie d</w:t>
      </w:r>
      <w:r w:rsidR="008D2733">
        <w:rPr>
          <w:lang w:val="fr-FR" w:eastAsia="en-GB"/>
        </w:rPr>
        <w:t>’</w:t>
      </w:r>
      <w:r w:rsidRPr="00FB0CCF">
        <w:rPr>
          <w:lang w:val="fr-FR" w:eastAsia="en-GB"/>
        </w:rPr>
        <w:t>intérêts à compter de la date de la perte de la propriété</w:t>
      </w:r>
      <w:r w:rsidRPr="002A42FC">
        <w:rPr>
          <w:lang w:val="fr-FR" w:eastAsia="en-GB"/>
        </w:rPr>
        <w:t xml:space="preserve"> (voir paragraphe</w:t>
      </w:r>
      <w:r>
        <w:rPr>
          <w:lang w:val="fr-FR" w:eastAsia="en-GB"/>
        </w:rPr>
        <w:t>s</w:t>
      </w:r>
      <w:r w:rsidR="00EB773E">
        <w:rPr>
          <w:lang w:val="fr-FR" w:eastAsia="en-GB"/>
        </w:rPr>
        <w:t xml:space="preserve"> </w:t>
      </w:r>
      <w:r>
        <w:rPr>
          <w:lang w:val="fr-FR" w:eastAsia="en-GB"/>
        </w:rPr>
        <w:t>12</w:t>
      </w:r>
      <w:r w:rsidRPr="002A42FC">
        <w:rPr>
          <w:lang w:val="fr-FR" w:eastAsia="en-GB"/>
        </w:rPr>
        <w:t xml:space="preserve"> et </w:t>
      </w:r>
      <w:r>
        <w:rPr>
          <w:lang w:val="fr-FR" w:eastAsia="en-GB"/>
        </w:rPr>
        <w:t>13</w:t>
      </w:r>
      <w:r w:rsidRPr="002A42FC">
        <w:rPr>
          <w:lang w:val="fr-FR" w:eastAsia="en-GB"/>
        </w:rPr>
        <w:t xml:space="preserve"> </w:t>
      </w:r>
      <w:r>
        <w:rPr>
          <w:lang w:val="fr-FR" w:eastAsia="en-GB"/>
        </w:rPr>
        <w:t>ci-dessus</w:t>
      </w:r>
      <w:r w:rsidRPr="002A42FC">
        <w:rPr>
          <w:lang w:val="fr-FR" w:eastAsia="en-GB"/>
        </w:rPr>
        <w:t>). Selon elle, les intéressés ont ainsi déjà obtenu une somme suffisante à satisfaire les critères d</w:t>
      </w:r>
      <w:r w:rsidR="008D2733">
        <w:rPr>
          <w:lang w:val="fr-FR" w:eastAsia="en-GB"/>
        </w:rPr>
        <w:t>’</w:t>
      </w:r>
      <w:r w:rsidRPr="002A42FC">
        <w:rPr>
          <w:lang w:val="fr-FR" w:eastAsia="en-GB"/>
        </w:rPr>
        <w:t>indemnisation suscités.</w:t>
      </w:r>
    </w:p>
    <w:p w:rsidR="00F32B22" w:rsidRPr="00F45B72" w:rsidRDefault="00F32B22" w:rsidP="00F45B72">
      <w:pPr>
        <w:pStyle w:val="ECHRHeading2"/>
      </w:pPr>
      <w:r w:rsidRPr="00F45B72">
        <w:t>B.  </w:t>
      </w:r>
      <w:proofErr w:type="spellStart"/>
      <w:r w:rsidRPr="00F45B72">
        <w:t>Dommage</w:t>
      </w:r>
      <w:proofErr w:type="spellEnd"/>
      <w:r w:rsidRPr="00F45B72">
        <w:t xml:space="preserve"> moral</w:t>
      </w:r>
    </w:p>
    <w:p w:rsidR="00F32B22" w:rsidRPr="0083475E" w:rsidRDefault="00F32B22" w:rsidP="00F32B22">
      <w:pPr>
        <w:pStyle w:val="ECHRPara"/>
        <w:rPr>
          <w:rStyle w:val="ECHRParaChar"/>
          <w:lang w:val="fr-FR"/>
        </w:rPr>
      </w:pPr>
      <w:r w:rsidRPr="00561A25">
        <w:rPr>
          <w:rStyle w:val="ECHRParaChar"/>
        </w:rPr>
        <w:fldChar w:fldCharType="begin"/>
      </w:r>
      <w:r w:rsidRPr="0083475E">
        <w:rPr>
          <w:rStyle w:val="ECHRParaChar"/>
          <w:lang w:val="fr-FR"/>
        </w:rPr>
        <w:instrText xml:space="preserve"> SEQ level0 \*arabic </w:instrText>
      </w:r>
      <w:r w:rsidRPr="00561A25">
        <w:rPr>
          <w:rStyle w:val="ECHRParaChar"/>
        </w:rPr>
        <w:fldChar w:fldCharType="separate"/>
      </w:r>
      <w:r w:rsidR="00EB773E">
        <w:rPr>
          <w:rStyle w:val="ECHRParaChar"/>
          <w:noProof/>
          <w:lang w:val="fr-FR"/>
        </w:rPr>
        <w:t>35</w:t>
      </w:r>
      <w:r w:rsidRPr="00561A25">
        <w:rPr>
          <w:rStyle w:val="ECHRParaChar"/>
        </w:rPr>
        <w:fldChar w:fldCharType="end"/>
      </w:r>
      <w:r w:rsidRPr="0083475E">
        <w:rPr>
          <w:rStyle w:val="ECHRParaChar"/>
          <w:lang w:val="fr-FR"/>
        </w:rPr>
        <w:t>.  L</w:t>
      </w:r>
      <w:r>
        <w:rPr>
          <w:rStyle w:val="ECHRParaChar"/>
          <w:lang w:val="fr-FR"/>
        </w:rPr>
        <w:t>es</w:t>
      </w:r>
      <w:r w:rsidRPr="0083475E">
        <w:rPr>
          <w:rStyle w:val="ECHRParaChar"/>
          <w:lang w:val="fr-FR"/>
        </w:rPr>
        <w:t xml:space="preserve"> requérant</w:t>
      </w:r>
      <w:r>
        <w:rPr>
          <w:rStyle w:val="ECHRParaChar"/>
          <w:lang w:val="fr-FR"/>
        </w:rPr>
        <w:t>s</w:t>
      </w:r>
      <w:r w:rsidRPr="0083475E">
        <w:rPr>
          <w:rStyle w:val="ECHRParaChar"/>
          <w:lang w:val="fr-FR"/>
        </w:rPr>
        <w:t xml:space="preserve"> demande</w:t>
      </w:r>
      <w:r>
        <w:rPr>
          <w:rStyle w:val="ECHRParaChar"/>
          <w:lang w:val="fr-FR"/>
        </w:rPr>
        <w:t>nt</w:t>
      </w:r>
      <w:r w:rsidRPr="0083475E">
        <w:rPr>
          <w:rStyle w:val="ECHRParaChar"/>
          <w:lang w:val="fr-FR"/>
        </w:rPr>
        <w:t xml:space="preserve"> </w:t>
      </w:r>
      <w:r>
        <w:rPr>
          <w:rStyle w:val="ECHRParaChar"/>
          <w:lang w:val="fr-FR"/>
        </w:rPr>
        <w:t>180</w:t>
      </w:r>
      <w:r w:rsidRPr="0083475E">
        <w:rPr>
          <w:rStyle w:val="ECHRParaChar"/>
          <w:lang w:val="fr-FR"/>
        </w:rPr>
        <w:t> 000 EUR à titre de préjudice moral.</w:t>
      </w:r>
    </w:p>
    <w:p w:rsidR="00F32B22" w:rsidRPr="0083475E" w:rsidRDefault="00F32B22" w:rsidP="00F32B22">
      <w:pPr>
        <w:pStyle w:val="ECHRPara"/>
        <w:rPr>
          <w:rStyle w:val="ECHRParaChar"/>
          <w:lang w:val="fr-FR"/>
        </w:rPr>
      </w:pPr>
      <w:r w:rsidRPr="00561A25">
        <w:rPr>
          <w:rStyle w:val="ECHRParaChar"/>
        </w:rPr>
        <w:fldChar w:fldCharType="begin"/>
      </w:r>
      <w:r w:rsidRPr="0083475E">
        <w:rPr>
          <w:rStyle w:val="ECHRParaChar"/>
          <w:lang w:val="fr-FR"/>
        </w:rPr>
        <w:instrText xml:space="preserve"> SEQ level0 \*arabic </w:instrText>
      </w:r>
      <w:r w:rsidRPr="00561A25">
        <w:rPr>
          <w:rStyle w:val="ECHRParaChar"/>
        </w:rPr>
        <w:fldChar w:fldCharType="separate"/>
      </w:r>
      <w:r w:rsidR="00EB773E">
        <w:rPr>
          <w:rStyle w:val="ECHRParaChar"/>
          <w:noProof/>
          <w:lang w:val="fr-FR"/>
        </w:rPr>
        <w:t>36</w:t>
      </w:r>
      <w:r w:rsidRPr="00561A25">
        <w:rPr>
          <w:rStyle w:val="ECHRParaChar"/>
        </w:rPr>
        <w:fldChar w:fldCharType="end"/>
      </w:r>
      <w:r w:rsidRPr="0083475E">
        <w:rPr>
          <w:rStyle w:val="ECHRParaChar"/>
          <w:lang w:val="fr-FR"/>
        </w:rPr>
        <w:t>.  Le Gouvernement s</w:t>
      </w:r>
      <w:r w:rsidR="008D2733">
        <w:rPr>
          <w:rStyle w:val="ECHRParaChar"/>
          <w:lang w:val="fr-FR"/>
        </w:rPr>
        <w:t>’</w:t>
      </w:r>
      <w:r w:rsidRPr="0083475E">
        <w:rPr>
          <w:rStyle w:val="ECHRParaChar"/>
          <w:lang w:val="fr-FR"/>
        </w:rPr>
        <w:t>y oppose.</w:t>
      </w:r>
    </w:p>
    <w:p w:rsidR="00F32B22" w:rsidRPr="00440876" w:rsidRDefault="00F32B22" w:rsidP="00F32B22">
      <w:pPr>
        <w:pStyle w:val="ECHRPara"/>
        <w:rPr>
          <w:lang w:val="fr-FR"/>
        </w:rPr>
      </w:pPr>
      <w:r w:rsidRPr="00561A25">
        <w:rPr>
          <w:rStyle w:val="ECHRParaChar"/>
        </w:rPr>
        <w:fldChar w:fldCharType="begin"/>
      </w:r>
      <w:r w:rsidRPr="0083475E">
        <w:rPr>
          <w:rStyle w:val="ECHRParaChar"/>
          <w:lang w:val="fr-FR"/>
        </w:rPr>
        <w:instrText xml:space="preserve"> SEQ level0 \*arabic </w:instrText>
      </w:r>
      <w:r w:rsidRPr="00561A25">
        <w:rPr>
          <w:rStyle w:val="ECHRParaChar"/>
        </w:rPr>
        <w:fldChar w:fldCharType="separate"/>
      </w:r>
      <w:r w:rsidR="00EB773E">
        <w:rPr>
          <w:rStyle w:val="ECHRParaChar"/>
          <w:noProof/>
          <w:lang w:val="fr-FR"/>
        </w:rPr>
        <w:t>37</w:t>
      </w:r>
      <w:r w:rsidRPr="00561A25">
        <w:rPr>
          <w:rStyle w:val="ECHRParaChar"/>
        </w:rPr>
        <w:fldChar w:fldCharType="end"/>
      </w:r>
      <w:r w:rsidRPr="0083475E">
        <w:rPr>
          <w:rStyle w:val="ECHRParaChar"/>
          <w:lang w:val="fr-FR"/>
        </w:rPr>
        <w:t>.  </w:t>
      </w:r>
      <w:r w:rsidRPr="00440876">
        <w:rPr>
          <w:lang w:val="fr-FR"/>
        </w:rPr>
        <w:t>La Cour estime que le sentiment d</w:t>
      </w:r>
      <w:r w:rsidR="008D2733">
        <w:rPr>
          <w:lang w:val="fr-FR"/>
        </w:rPr>
        <w:t>’</w:t>
      </w:r>
      <w:r w:rsidRPr="00440876">
        <w:rPr>
          <w:lang w:val="fr-FR"/>
        </w:rPr>
        <w:t xml:space="preserve">impuissance et de frustration face à la dépossession illégale de </w:t>
      </w:r>
      <w:r>
        <w:rPr>
          <w:lang w:val="fr-FR"/>
        </w:rPr>
        <w:t>leur bien a causé aux</w:t>
      </w:r>
      <w:r w:rsidRPr="00440876">
        <w:rPr>
          <w:lang w:val="fr-FR"/>
        </w:rPr>
        <w:t xml:space="preserve"> </w:t>
      </w:r>
      <w:r>
        <w:rPr>
          <w:lang w:val="fr-FR"/>
        </w:rPr>
        <w:t>requérants</w:t>
      </w:r>
      <w:r w:rsidRPr="00440876">
        <w:rPr>
          <w:lang w:val="fr-FR"/>
        </w:rPr>
        <w:t xml:space="preserve"> un préjudice moral qu</w:t>
      </w:r>
      <w:r w:rsidR="008D2733">
        <w:rPr>
          <w:lang w:val="fr-FR"/>
        </w:rPr>
        <w:t>’</w:t>
      </w:r>
      <w:r w:rsidRPr="00440876">
        <w:rPr>
          <w:lang w:val="fr-FR"/>
        </w:rPr>
        <w:t>il y a lieu de réparer de manière adéquate.</w:t>
      </w:r>
    </w:p>
    <w:p w:rsidR="00F32B22" w:rsidRPr="00440876" w:rsidRDefault="00F32B22" w:rsidP="00F32B22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EB773E">
        <w:rPr>
          <w:noProof/>
          <w:lang w:val="fr-FR"/>
        </w:rPr>
        <w:t>38</w:t>
      </w:r>
      <w:r>
        <w:rPr>
          <w:noProof/>
        </w:rPr>
        <w:fldChar w:fldCharType="end"/>
      </w:r>
      <w:r w:rsidRPr="00440876">
        <w:rPr>
          <w:lang w:val="fr-FR"/>
        </w:rPr>
        <w:t xml:space="preserve">.  Statuant en équité, la </w:t>
      </w:r>
      <w:r>
        <w:rPr>
          <w:lang w:val="fr-FR"/>
        </w:rPr>
        <w:t xml:space="preserve">Cour </w:t>
      </w:r>
      <w:r w:rsidRPr="002D7D58">
        <w:rPr>
          <w:lang w:val="fr-FR"/>
        </w:rPr>
        <w:t>alloue aux requérants 6 000 EUR au titre</w:t>
      </w:r>
      <w:r w:rsidRPr="00440876">
        <w:rPr>
          <w:lang w:val="fr-FR"/>
        </w:rPr>
        <w:t xml:space="preserve"> du préjudice moral.</w:t>
      </w:r>
    </w:p>
    <w:p w:rsidR="00F32B22" w:rsidRPr="00F45B72" w:rsidRDefault="00F32B22" w:rsidP="00F45B72">
      <w:pPr>
        <w:pStyle w:val="ECHRHeading2"/>
      </w:pPr>
      <w:r w:rsidRPr="00F45B72">
        <w:t>C.  </w:t>
      </w:r>
      <w:proofErr w:type="spellStart"/>
      <w:r w:rsidRPr="00F45B72">
        <w:t>Frais</w:t>
      </w:r>
      <w:proofErr w:type="spellEnd"/>
      <w:r w:rsidRPr="00F45B72">
        <w:t xml:space="preserve"> </w:t>
      </w:r>
      <w:proofErr w:type="gramStart"/>
      <w:r w:rsidRPr="00F45B72">
        <w:t>et</w:t>
      </w:r>
      <w:proofErr w:type="gramEnd"/>
      <w:r w:rsidRPr="00F45B72">
        <w:t xml:space="preserve"> </w:t>
      </w:r>
      <w:proofErr w:type="spellStart"/>
      <w:r w:rsidRPr="00F45B72">
        <w:t>dépens</w:t>
      </w:r>
      <w:proofErr w:type="spellEnd"/>
    </w:p>
    <w:p w:rsidR="00F32B22" w:rsidRPr="00440876" w:rsidRDefault="00F32B22" w:rsidP="00F32B22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EB773E">
        <w:rPr>
          <w:noProof/>
          <w:lang w:val="fr-FR"/>
        </w:rPr>
        <w:t>39</w:t>
      </w:r>
      <w:r>
        <w:rPr>
          <w:noProof/>
        </w:rPr>
        <w:fldChar w:fldCharType="end"/>
      </w:r>
      <w:r w:rsidRPr="00440876">
        <w:rPr>
          <w:lang w:val="fr-FR"/>
        </w:rPr>
        <w:t>.  </w:t>
      </w:r>
      <w:r>
        <w:rPr>
          <w:lang w:val="fr-FR"/>
        </w:rPr>
        <w:t>Notes d</w:t>
      </w:r>
      <w:r w:rsidR="008D2733">
        <w:rPr>
          <w:lang w:val="fr-FR"/>
        </w:rPr>
        <w:t>’</w:t>
      </w:r>
      <w:r>
        <w:rPr>
          <w:lang w:val="fr-FR"/>
        </w:rPr>
        <w:t>honoraires à l</w:t>
      </w:r>
      <w:r w:rsidR="008D2733">
        <w:rPr>
          <w:lang w:val="fr-FR"/>
        </w:rPr>
        <w:t>’</w:t>
      </w:r>
      <w:r>
        <w:rPr>
          <w:lang w:val="fr-FR"/>
        </w:rPr>
        <w:t>appui, les requérants</w:t>
      </w:r>
      <w:r w:rsidRPr="00440876">
        <w:rPr>
          <w:lang w:val="fr-FR"/>
        </w:rPr>
        <w:t xml:space="preserve"> demande</w:t>
      </w:r>
      <w:r>
        <w:rPr>
          <w:lang w:val="fr-FR"/>
        </w:rPr>
        <w:t>nt</w:t>
      </w:r>
      <w:r w:rsidRPr="00440876">
        <w:rPr>
          <w:lang w:val="fr-FR"/>
        </w:rPr>
        <w:t xml:space="preserve"> également le remboursement des frais et dépens engagés devant </w:t>
      </w:r>
      <w:r>
        <w:rPr>
          <w:lang w:val="fr-FR"/>
        </w:rPr>
        <w:t>la</w:t>
      </w:r>
      <w:r w:rsidRPr="00440876">
        <w:rPr>
          <w:lang w:val="fr-FR"/>
        </w:rPr>
        <w:t xml:space="preserve"> Cour à hauteur de </w:t>
      </w:r>
      <w:r>
        <w:rPr>
          <w:lang w:val="fr-FR"/>
        </w:rPr>
        <w:t>16</w:t>
      </w:r>
      <w:r w:rsidRPr="00440876">
        <w:rPr>
          <w:lang w:val="fr-FR"/>
        </w:rPr>
        <w:t> </w:t>
      </w:r>
      <w:r>
        <w:rPr>
          <w:lang w:val="fr-FR"/>
        </w:rPr>
        <w:t>063,54</w:t>
      </w:r>
      <w:r w:rsidRPr="00440876">
        <w:rPr>
          <w:lang w:val="fr-FR"/>
        </w:rPr>
        <w:t xml:space="preserve"> EUR.</w:t>
      </w:r>
    </w:p>
    <w:p w:rsidR="00F32B22" w:rsidRPr="00F45B72" w:rsidRDefault="00531C56" w:rsidP="00F45B72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EB773E" w:rsidRPr="00F45B72">
        <w:t>40</w:t>
      </w:r>
      <w:r>
        <w:fldChar w:fldCharType="end"/>
      </w:r>
      <w:r w:rsidR="00F32B22" w:rsidRPr="00F45B72">
        <w:t>.  </w:t>
      </w:r>
      <w:r w:rsidR="00F32B22" w:rsidRPr="00F45B72">
        <w:rPr>
          <w:lang w:val="fr-FR"/>
        </w:rPr>
        <w:t>Le Gouvernement s</w:t>
      </w:r>
      <w:r w:rsidR="008D2733">
        <w:rPr>
          <w:lang w:val="fr-FR"/>
        </w:rPr>
        <w:t>’</w:t>
      </w:r>
      <w:r w:rsidR="00F32B22" w:rsidRPr="00F45B72">
        <w:rPr>
          <w:lang w:val="fr-FR"/>
        </w:rPr>
        <w:t>oppose et fait valoir que les sommes réclamées sont excessives et injustifiées.</w:t>
      </w:r>
    </w:p>
    <w:p w:rsidR="00F32B22" w:rsidRPr="00440876" w:rsidRDefault="00F32B22" w:rsidP="00F32B22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EB773E">
        <w:rPr>
          <w:noProof/>
          <w:lang w:val="fr-FR"/>
        </w:rPr>
        <w:t>41</w:t>
      </w:r>
      <w:r>
        <w:rPr>
          <w:noProof/>
        </w:rPr>
        <w:fldChar w:fldCharType="end"/>
      </w:r>
      <w:r w:rsidRPr="00440876">
        <w:rPr>
          <w:lang w:val="fr-FR"/>
        </w:rPr>
        <w:t>.  La Cour rappelle que, selon sa jurisprudence, l</w:t>
      </w:r>
      <w:r w:rsidR="008D2733">
        <w:rPr>
          <w:lang w:val="fr-FR"/>
        </w:rPr>
        <w:t>’</w:t>
      </w:r>
      <w:r w:rsidRPr="00440876">
        <w:rPr>
          <w:lang w:val="fr-FR"/>
        </w:rPr>
        <w:t>allocation des frais et dépens au titre de l</w:t>
      </w:r>
      <w:r w:rsidR="008D2733">
        <w:rPr>
          <w:lang w:val="fr-FR"/>
        </w:rPr>
        <w:t>’</w:t>
      </w:r>
      <w:r w:rsidRPr="00440876">
        <w:rPr>
          <w:lang w:val="fr-FR"/>
        </w:rPr>
        <w:t>article 41 présuppose que se trouvent établis leur réalité, leur nécessité et le caractère raisonnable de leur taux (</w:t>
      </w:r>
      <w:r w:rsidRPr="00440876">
        <w:rPr>
          <w:i/>
          <w:iCs/>
          <w:lang w:val="fr-FR"/>
        </w:rPr>
        <w:t>Can et autres c. Turquie</w:t>
      </w:r>
      <w:r w:rsidRPr="00440876">
        <w:rPr>
          <w:lang w:val="fr-FR"/>
        </w:rPr>
        <w:t>, n</w:t>
      </w:r>
      <w:r w:rsidRPr="00440876">
        <w:rPr>
          <w:vertAlign w:val="superscript"/>
          <w:lang w:val="fr-FR"/>
        </w:rPr>
        <w:t>o</w:t>
      </w:r>
      <w:r w:rsidRPr="00440876">
        <w:rPr>
          <w:lang w:val="fr-FR"/>
        </w:rPr>
        <w:t xml:space="preserve"> 29189/02, § 22, 24 janvier 2008).</w:t>
      </w:r>
    </w:p>
    <w:p w:rsidR="00F32B22" w:rsidRPr="00440876" w:rsidRDefault="00F32B22" w:rsidP="00F32B22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EB773E">
        <w:rPr>
          <w:noProof/>
          <w:lang w:val="fr-FR"/>
        </w:rPr>
        <w:t>42</w:t>
      </w:r>
      <w:r>
        <w:rPr>
          <w:noProof/>
        </w:rPr>
        <w:fldChar w:fldCharType="end"/>
      </w:r>
      <w:r w:rsidRPr="00440876">
        <w:rPr>
          <w:lang w:val="fr-FR"/>
        </w:rPr>
        <w:t>.  </w:t>
      </w:r>
      <w:r w:rsidRPr="00440876">
        <w:rPr>
          <w:szCs w:val="24"/>
          <w:lang w:val="fr-FR" w:eastAsia="en-GB"/>
        </w:rPr>
        <w:t>La Cour ne doute pas de la nécessité d</w:t>
      </w:r>
      <w:r w:rsidR="008D2733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>engager des frais, mais elle trouve excessifs les honoraires totaux revendiqués à ce titre. Elle considère dès lors qu</w:t>
      </w:r>
      <w:r w:rsidR="008D2733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>il y a lieu de les rembourser en partie seulement. Compte tenu des circonstances de la cause, la Cour juge raisonnable d</w:t>
      </w:r>
      <w:r w:rsidR="008D2733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>allouer un montant de</w:t>
      </w:r>
      <w:r w:rsidRPr="00440876">
        <w:rPr>
          <w:lang w:val="fr-FR"/>
        </w:rPr>
        <w:t xml:space="preserve"> </w:t>
      </w:r>
      <w:r>
        <w:rPr>
          <w:lang w:val="fr-FR"/>
        </w:rPr>
        <w:t>5</w:t>
      </w:r>
      <w:r w:rsidRPr="00440876">
        <w:rPr>
          <w:lang w:val="fr-FR"/>
        </w:rPr>
        <w:t> 000 EUR pour l</w:t>
      </w:r>
      <w:r w:rsidR="008D2733">
        <w:rPr>
          <w:lang w:val="fr-FR"/>
        </w:rPr>
        <w:t>’</w:t>
      </w:r>
      <w:r w:rsidRPr="00440876">
        <w:rPr>
          <w:lang w:val="fr-FR"/>
        </w:rPr>
        <w:t>ensemble des frais exposés.</w:t>
      </w:r>
    </w:p>
    <w:p w:rsidR="00F32B22" w:rsidRPr="00F45B72" w:rsidRDefault="00F32B22" w:rsidP="00F45B72">
      <w:pPr>
        <w:pStyle w:val="ECHRHeading2"/>
      </w:pPr>
      <w:r w:rsidRPr="00440876">
        <w:rPr>
          <w:lang w:val="fr-FR"/>
        </w:rPr>
        <w:t>D.  Intérêts moratoires</w:t>
      </w:r>
    </w:p>
    <w:p w:rsidR="00F32B22" w:rsidRPr="00440876" w:rsidRDefault="00F32B22" w:rsidP="00F32B22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EB773E">
        <w:rPr>
          <w:noProof/>
          <w:lang w:val="fr-FR"/>
        </w:rPr>
        <w:t>43</w:t>
      </w:r>
      <w:r>
        <w:rPr>
          <w:noProof/>
        </w:rPr>
        <w:fldChar w:fldCharType="end"/>
      </w:r>
      <w:r w:rsidRPr="00440876">
        <w:rPr>
          <w:lang w:val="fr-FR"/>
        </w:rPr>
        <w:t>.  La Cour juge approprié de calquer le taux des intérêts moratoires sur le taux d</w:t>
      </w:r>
      <w:r w:rsidR="008D2733">
        <w:rPr>
          <w:lang w:val="fr-FR"/>
        </w:rPr>
        <w:t>’</w:t>
      </w:r>
      <w:r w:rsidRPr="00440876">
        <w:rPr>
          <w:lang w:val="fr-FR"/>
        </w:rPr>
        <w:t>intérêt de la facilité de prêt marginal de la Banque centrale européenne majoré de trois points de pourcentage.</w:t>
      </w:r>
    </w:p>
    <w:p w:rsidR="00F32B22" w:rsidRPr="00440876" w:rsidRDefault="00F32B22" w:rsidP="00F32B22">
      <w:pPr>
        <w:pStyle w:val="ECHRTitle1"/>
        <w:rPr>
          <w:lang w:val="fr-FR"/>
        </w:rPr>
      </w:pPr>
      <w:r w:rsidRPr="00440876">
        <w:rPr>
          <w:lang w:val="fr-FR"/>
        </w:rPr>
        <w:lastRenderedPageBreak/>
        <w:t xml:space="preserve">PAR CES MOTIFS, LA COUR </w:t>
      </w:r>
      <w:r w:rsidRPr="00440876">
        <w:rPr>
          <w:noProof/>
          <w:lang w:val="fr-FR"/>
        </w:rPr>
        <w:t>À L</w:t>
      </w:r>
      <w:r w:rsidR="008D2733">
        <w:rPr>
          <w:noProof/>
          <w:lang w:val="fr-FR"/>
        </w:rPr>
        <w:t>’</w:t>
      </w:r>
      <w:r w:rsidRPr="00440876">
        <w:rPr>
          <w:noProof/>
          <w:lang w:val="fr-FR"/>
        </w:rPr>
        <w:t>UNANIMITÉ,</w:t>
      </w:r>
    </w:p>
    <w:p w:rsidR="00F32B22" w:rsidRPr="00991288" w:rsidRDefault="00F32B22" w:rsidP="00F32B22">
      <w:pPr>
        <w:pStyle w:val="JuList"/>
        <w:rPr>
          <w:lang w:val="fr-FR"/>
        </w:rPr>
      </w:pPr>
      <w:r w:rsidRPr="002E434F">
        <w:rPr>
          <w:lang w:val="fr-FR"/>
        </w:rPr>
        <w:t>1.  </w:t>
      </w:r>
      <w:r w:rsidRPr="00991288">
        <w:rPr>
          <w:i/>
          <w:lang w:val="fr-FR"/>
        </w:rPr>
        <w:t>Joint au fond</w:t>
      </w:r>
      <w:r w:rsidRPr="00991288">
        <w:rPr>
          <w:lang w:val="fr-FR"/>
        </w:rPr>
        <w:t xml:space="preserve"> l</w:t>
      </w:r>
      <w:r w:rsidR="008D2733">
        <w:rPr>
          <w:lang w:val="fr-FR"/>
        </w:rPr>
        <w:t>’</w:t>
      </w:r>
      <w:r w:rsidRPr="00991288">
        <w:rPr>
          <w:lang w:val="fr-FR"/>
        </w:rPr>
        <w:t>exception du Gouvernement et la rejette</w:t>
      </w:r>
      <w:r>
        <w:rPr>
          <w:lang w:val="fr-FR"/>
        </w:rPr>
        <w:t> ;</w:t>
      </w:r>
    </w:p>
    <w:p w:rsidR="00F32B22" w:rsidRDefault="00F32B22" w:rsidP="00F32B22">
      <w:pPr>
        <w:pStyle w:val="JuList"/>
        <w:rPr>
          <w:lang w:val="fr-FR"/>
        </w:rPr>
      </w:pPr>
    </w:p>
    <w:p w:rsidR="00F32B22" w:rsidRPr="002E434F" w:rsidRDefault="00F32B22" w:rsidP="00F32B22">
      <w:pPr>
        <w:pStyle w:val="JuList"/>
        <w:rPr>
          <w:lang w:val="fr-FR"/>
        </w:rPr>
      </w:pPr>
      <w:r w:rsidRPr="00440876">
        <w:rPr>
          <w:lang w:val="fr-FR"/>
        </w:rPr>
        <w:t>2.  </w:t>
      </w:r>
      <w:r w:rsidRPr="002E434F">
        <w:rPr>
          <w:i/>
          <w:lang w:val="fr-FR"/>
        </w:rPr>
        <w:t>Déclare</w:t>
      </w:r>
      <w:r w:rsidRPr="002E434F">
        <w:rPr>
          <w:lang w:val="fr-FR"/>
        </w:rPr>
        <w:t xml:space="preserve"> la requête recevable ;</w:t>
      </w:r>
    </w:p>
    <w:p w:rsidR="00F32B22" w:rsidRPr="002E434F" w:rsidRDefault="00F32B22" w:rsidP="00F32B22">
      <w:pPr>
        <w:pStyle w:val="JuList"/>
        <w:rPr>
          <w:lang w:val="fr-FR"/>
        </w:rPr>
      </w:pPr>
    </w:p>
    <w:p w:rsidR="00F32B22" w:rsidRPr="00440876" w:rsidRDefault="00F32B22" w:rsidP="00F32B22">
      <w:pPr>
        <w:pStyle w:val="JuList"/>
        <w:rPr>
          <w:lang w:val="fr-FR"/>
        </w:rPr>
      </w:pPr>
      <w:r>
        <w:rPr>
          <w:lang w:val="fr-FR"/>
        </w:rPr>
        <w:t>3</w:t>
      </w:r>
      <w:r w:rsidRPr="00440876">
        <w:rPr>
          <w:lang w:val="fr-FR"/>
        </w:rPr>
        <w:t>.  </w:t>
      </w:r>
      <w:r w:rsidRPr="00440876">
        <w:rPr>
          <w:i/>
          <w:lang w:val="fr-FR"/>
        </w:rPr>
        <w:t>Dit</w:t>
      </w:r>
      <w:r w:rsidRPr="00440876">
        <w:rPr>
          <w:lang w:val="fr-FR"/>
        </w:rPr>
        <w:t xml:space="preserve"> qu</w:t>
      </w:r>
      <w:r w:rsidR="008D2733">
        <w:rPr>
          <w:lang w:val="fr-FR"/>
        </w:rPr>
        <w:t>’</w:t>
      </w:r>
      <w:r w:rsidRPr="00440876">
        <w:rPr>
          <w:lang w:val="fr-FR"/>
        </w:rPr>
        <w:t>il y a eu violation de l</w:t>
      </w:r>
      <w:r w:rsidR="008D2733">
        <w:rPr>
          <w:lang w:val="fr-FR"/>
        </w:rPr>
        <w:t>’</w:t>
      </w:r>
      <w:r w:rsidRPr="00440876">
        <w:rPr>
          <w:lang w:val="fr-FR"/>
        </w:rPr>
        <w:t>article 1 du Protocole n</w:t>
      </w:r>
      <w:r w:rsidRPr="00440876">
        <w:rPr>
          <w:vertAlign w:val="superscript"/>
          <w:lang w:val="fr-FR"/>
        </w:rPr>
        <w:t>o</w:t>
      </w:r>
      <w:r w:rsidRPr="00440876">
        <w:rPr>
          <w:lang w:val="fr-FR"/>
        </w:rPr>
        <w:t xml:space="preserve"> 1 de la Convention ;</w:t>
      </w:r>
    </w:p>
    <w:p w:rsidR="00F32B22" w:rsidRPr="00440876" w:rsidRDefault="00F32B22" w:rsidP="00F32B22">
      <w:pPr>
        <w:pStyle w:val="JuList"/>
        <w:rPr>
          <w:lang w:val="fr-FR"/>
        </w:rPr>
      </w:pPr>
    </w:p>
    <w:p w:rsidR="00F32B22" w:rsidRPr="00440876" w:rsidRDefault="00F32B22" w:rsidP="00F32B22">
      <w:pPr>
        <w:pStyle w:val="JuList"/>
        <w:rPr>
          <w:lang w:val="fr-FR"/>
        </w:rPr>
      </w:pPr>
      <w:r>
        <w:rPr>
          <w:lang w:val="fr-FR"/>
        </w:rPr>
        <w:t>4</w:t>
      </w:r>
      <w:r w:rsidRPr="00440876">
        <w:rPr>
          <w:lang w:val="fr-FR"/>
        </w:rPr>
        <w:t>.  </w:t>
      </w:r>
      <w:r w:rsidRPr="00440876">
        <w:rPr>
          <w:i/>
          <w:lang w:val="fr-FR"/>
        </w:rPr>
        <w:t>Dit</w:t>
      </w:r>
    </w:p>
    <w:p w:rsidR="00F32B22" w:rsidRPr="009448DB" w:rsidRDefault="00F32B22" w:rsidP="00F32B22">
      <w:pPr>
        <w:pStyle w:val="JuLista"/>
        <w:rPr>
          <w:lang w:val="fr-FR"/>
        </w:rPr>
      </w:pPr>
      <w:r w:rsidRPr="00440876">
        <w:rPr>
          <w:lang w:val="fr-FR"/>
        </w:rPr>
        <w:t>a)  que l</w:t>
      </w:r>
      <w:r w:rsidR="008D2733">
        <w:rPr>
          <w:lang w:val="fr-FR"/>
        </w:rPr>
        <w:t>’</w:t>
      </w:r>
      <w:r w:rsidRPr="00440876">
        <w:rPr>
          <w:lang w:val="fr-FR"/>
        </w:rPr>
        <w:t xml:space="preserve">État défendeur doit verser </w:t>
      </w:r>
      <w:r>
        <w:rPr>
          <w:lang w:val="fr-FR"/>
        </w:rPr>
        <w:t>conjointement aux requérants</w:t>
      </w:r>
      <w:r w:rsidRPr="00440876">
        <w:rPr>
          <w:lang w:val="fr-FR"/>
        </w:rPr>
        <w:t xml:space="preserve">, dans </w:t>
      </w:r>
      <w:r w:rsidRPr="009448DB">
        <w:rPr>
          <w:lang w:val="fr-FR"/>
        </w:rPr>
        <w:t>les trois mois, les sommes suivantes:</w:t>
      </w:r>
    </w:p>
    <w:p w:rsidR="00F32B22" w:rsidRPr="0081304A" w:rsidRDefault="00F32B22" w:rsidP="00F32B22">
      <w:pPr>
        <w:pStyle w:val="JuListi"/>
        <w:rPr>
          <w:lang w:val="fr-FR" w:eastAsia="en-GB"/>
        </w:rPr>
      </w:pPr>
      <w:r w:rsidRPr="00EE3473">
        <w:rPr>
          <w:lang w:val="fr-FR" w:eastAsia="en-GB"/>
        </w:rPr>
        <w:t>i</w:t>
      </w:r>
      <w:r w:rsidR="00907FD0">
        <w:rPr>
          <w:lang w:val="fr-FR" w:eastAsia="en-GB"/>
        </w:rPr>
        <w:t>.</w:t>
      </w:r>
      <w:r w:rsidR="000C130E">
        <w:rPr>
          <w:lang w:val="fr-FR" w:eastAsia="en-GB"/>
        </w:rPr>
        <w:t>  </w:t>
      </w:r>
      <w:r>
        <w:rPr>
          <w:lang w:val="fr-FR" w:eastAsia="en-GB"/>
        </w:rPr>
        <w:t>6</w:t>
      </w:r>
      <w:r w:rsidRPr="00EE3473">
        <w:rPr>
          <w:lang w:val="fr-FR" w:eastAsia="en-GB"/>
        </w:rPr>
        <w:t xml:space="preserve"> 000</w:t>
      </w:r>
      <w:r w:rsidRPr="0081304A">
        <w:rPr>
          <w:lang w:val="fr-FR" w:eastAsia="en-GB"/>
        </w:rPr>
        <w:t xml:space="preserve"> EUR (</w:t>
      </w:r>
      <w:r>
        <w:rPr>
          <w:lang w:val="fr-FR" w:eastAsia="en-GB"/>
        </w:rPr>
        <w:t>six</w:t>
      </w:r>
      <w:r w:rsidRPr="0081304A">
        <w:rPr>
          <w:lang w:val="fr-FR" w:eastAsia="en-GB"/>
        </w:rPr>
        <w:t xml:space="preserve"> mille euros), plus tout montant pouvant être dû à titre d</w:t>
      </w:r>
      <w:r w:rsidR="008D2733">
        <w:rPr>
          <w:lang w:val="fr-FR" w:eastAsia="en-GB"/>
        </w:rPr>
        <w:t>’</w:t>
      </w:r>
      <w:r w:rsidRPr="0081304A">
        <w:rPr>
          <w:lang w:val="fr-FR" w:eastAsia="en-GB"/>
        </w:rPr>
        <w:t>impôt, pour dommage moral ;</w:t>
      </w:r>
    </w:p>
    <w:p w:rsidR="00F32B22" w:rsidRPr="00440876" w:rsidRDefault="00F32B22" w:rsidP="00F32B22">
      <w:pPr>
        <w:pStyle w:val="JuListi"/>
        <w:rPr>
          <w:lang w:val="fr-FR" w:eastAsia="en-GB"/>
        </w:rPr>
      </w:pPr>
      <w:r w:rsidRPr="0081304A">
        <w:rPr>
          <w:lang w:val="fr-FR" w:eastAsia="en-GB"/>
        </w:rPr>
        <w:t>ii</w:t>
      </w:r>
      <w:r w:rsidR="00907FD0">
        <w:rPr>
          <w:lang w:val="fr-FR" w:eastAsia="en-GB"/>
        </w:rPr>
        <w:t>.</w:t>
      </w:r>
      <w:r w:rsidR="000C130E">
        <w:rPr>
          <w:lang w:val="fr-FR" w:eastAsia="en-GB"/>
        </w:rPr>
        <w:t> </w:t>
      </w:r>
      <w:r w:rsidRPr="0081304A">
        <w:rPr>
          <w:lang w:val="fr-FR" w:eastAsia="en-GB"/>
        </w:rPr>
        <w:t> 5 000 EUR (</w:t>
      </w:r>
      <w:r>
        <w:rPr>
          <w:lang w:val="fr-FR" w:eastAsia="en-GB"/>
        </w:rPr>
        <w:t>cinq</w:t>
      </w:r>
      <w:r w:rsidRPr="0081304A">
        <w:rPr>
          <w:lang w:val="fr-FR" w:eastAsia="en-GB"/>
        </w:rPr>
        <w:t xml:space="preserve"> mille euros), plus tout montant pouvant être dû à titre d</w:t>
      </w:r>
      <w:r w:rsidR="008D2733">
        <w:rPr>
          <w:lang w:val="fr-FR" w:eastAsia="en-GB"/>
        </w:rPr>
        <w:t>’</w:t>
      </w:r>
      <w:r w:rsidRPr="0081304A">
        <w:rPr>
          <w:lang w:val="fr-FR" w:eastAsia="en-GB"/>
        </w:rPr>
        <w:t xml:space="preserve">impôt par </w:t>
      </w:r>
      <w:r>
        <w:rPr>
          <w:lang w:val="fr-FR" w:eastAsia="en-GB"/>
        </w:rPr>
        <w:t>les requérants</w:t>
      </w:r>
      <w:r w:rsidRPr="0081304A">
        <w:rPr>
          <w:lang w:val="fr-FR" w:eastAsia="en-GB"/>
        </w:rPr>
        <w:t>, pour frais et dépens ;</w:t>
      </w:r>
    </w:p>
    <w:p w:rsidR="00F32B22" w:rsidRPr="00440876" w:rsidRDefault="00F32B22" w:rsidP="00F32B22">
      <w:pPr>
        <w:pStyle w:val="JuLista"/>
        <w:rPr>
          <w:lang w:val="fr-FR"/>
        </w:rPr>
      </w:pPr>
      <w:r w:rsidRPr="00440876">
        <w:rPr>
          <w:lang w:val="fr-FR"/>
        </w:rPr>
        <w:t>b)  qu</w:t>
      </w:r>
      <w:r w:rsidR="008D2733">
        <w:rPr>
          <w:lang w:val="fr-FR"/>
        </w:rPr>
        <w:t>’</w:t>
      </w:r>
      <w:r w:rsidRPr="00440876">
        <w:rPr>
          <w:lang w:val="fr-FR"/>
        </w:rPr>
        <w:t>à compter de l</w:t>
      </w:r>
      <w:r w:rsidR="008D2733">
        <w:rPr>
          <w:lang w:val="fr-FR"/>
        </w:rPr>
        <w:t>’</w:t>
      </w:r>
      <w:r w:rsidRPr="00440876">
        <w:rPr>
          <w:lang w:val="fr-FR"/>
        </w:rPr>
        <w:t>expiration dudit délai et jusqu</w:t>
      </w:r>
      <w:r w:rsidR="008D2733">
        <w:rPr>
          <w:lang w:val="fr-FR"/>
        </w:rPr>
        <w:t>’</w:t>
      </w:r>
      <w:r w:rsidRPr="00440876">
        <w:rPr>
          <w:lang w:val="fr-FR"/>
        </w:rPr>
        <w:t>au versement, ce</w:t>
      </w:r>
      <w:r w:rsidR="0009134D">
        <w:rPr>
          <w:lang w:val="fr-FR"/>
        </w:rPr>
        <w:t>s</w:t>
      </w:r>
      <w:r w:rsidRPr="00440876">
        <w:rPr>
          <w:lang w:val="fr-FR"/>
        </w:rPr>
        <w:t xml:space="preserve"> montant</w:t>
      </w:r>
      <w:r w:rsidR="0009134D">
        <w:rPr>
          <w:lang w:val="fr-FR"/>
        </w:rPr>
        <w:t>s</w:t>
      </w:r>
      <w:r w:rsidRPr="00440876">
        <w:rPr>
          <w:lang w:val="fr-FR"/>
        </w:rPr>
        <w:t xml:space="preserve"> se</w:t>
      </w:r>
      <w:r w:rsidR="00314D34">
        <w:rPr>
          <w:lang w:val="fr-FR"/>
        </w:rPr>
        <w:t>r</w:t>
      </w:r>
      <w:r w:rsidR="0009134D">
        <w:rPr>
          <w:lang w:val="fr-FR"/>
        </w:rPr>
        <w:t>ont</w:t>
      </w:r>
      <w:r w:rsidRPr="00440876">
        <w:rPr>
          <w:lang w:val="fr-FR"/>
        </w:rPr>
        <w:t xml:space="preserve"> à majorer d</w:t>
      </w:r>
      <w:r w:rsidR="008D2733">
        <w:rPr>
          <w:lang w:val="fr-FR"/>
        </w:rPr>
        <w:t>’</w:t>
      </w:r>
      <w:r w:rsidRPr="00440876">
        <w:rPr>
          <w:lang w:val="fr-FR"/>
        </w:rPr>
        <w:t>un intérêt simple à un taux égal à celui de la facilité de prêt marginal de la Banque centrale européenne applicable pendant cette période, augmenté de trois points de pourcentage ;</w:t>
      </w:r>
    </w:p>
    <w:p w:rsidR="00F32B22" w:rsidRPr="00440876" w:rsidRDefault="00F32B22" w:rsidP="00F32B22">
      <w:pPr>
        <w:pStyle w:val="JuLista"/>
        <w:rPr>
          <w:lang w:val="fr-FR"/>
        </w:rPr>
      </w:pPr>
    </w:p>
    <w:p w:rsidR="00F32B22" w:rsidRPr="00440876" w:rsidRDefault="00F32B22" w:rsidP="00F32B22">
      <w:pPr>
        <w:pStyle w:val="JuLista"/>
        <w:ind w:left="0"/>
        <w:rPr>
          <w:lang w:val="fr-FR"/>
        </w:rPr>
      </w:pPr>
      <w:r>
        <w:rPr>
          <w:lang w:val="fr-FR"/>
        </w:rPr>
        <w:t>5</w:t>
      </w:r>
      <w:r w:rsidRPr="00440876">
        <w:rPr>
          <w:lang w:val="fr-FR"/>
        </w:rPr>
        <w:t>.  </w:t>
      </w:r>
      <w:r w:rsidRPr="00440876">
        <w:rPr>
          <w:i/>
          <w:lang w:val="fr-FR"/>
        </w:rPr>
        <w:t>Rejette</w:t>
      </w:r>
      <w:r w:rsidRPr="00440876">
        <w:rPr>
          <w:lang w:val="fr-FR"/>
        </w:rPr>
        <w:t xml:space="preserve"> la demande de satisfaction équitable pour le surplus</w:t>
      </w:r>
      <w:r>
        <w:rPr>
          <w:lang w:val="fr-FR"/>
        </w:rPr>
        <w:t>.</w:t>
      </w:r>
    </w:p>
    <w:p w:rsidR="00F32B22" w:rsidRPr="001F576E" w:rsidRDefault="00F32B22" w:rsidP="00F32B22">
      <w:pPr>
        <w:pStyle w:val="JuParaLast"/>
        <w:rPr>
          <w:lang w:val="fr-FR"/>
        </w:rPr>
      </w:pPr>
      <w:r w:rsidRPr="001F576E">
        <w:rPr>
          <w:lang w:val="fr-FR"/>
        </w:rPr>
        <w:t>Fait en françai</w:t>
      </w:r>
      <w:r w:rsidR="002C24FD">
        <w:rPr>
          <w:lang w:val="fr-FR"/>
        </w:rPr>
        <w:t xml:space="preserve">s, puis communiqué par écrit le </w:t>
      </w:r>
      <w:r>
        <w:rPr>
          <w:lang w:val="fr-FR"/>
        </w:rPr>
        <w:t>6 octobre 2015</w:t>
      </w:r>
      <w:r w:rsidRPr="001F576E">
        <w:rPr>
          <w:lang w:val="fr-FR"/>
        </w:rPr>
        <w:t>, en application de l</w:t>
      </w:r>
      <w:r w:rsidR="008D2733">
        <w:rPr>
          <w:lang w:val="fr-FR"/>
        </w:rPr>
        <w:t>’</w:t>
      </w:r>
      <w:r w:rsidRPr="001F576E">
        <w:rPr>
          <w:lang w:val="fr-FR"/>
        </w:rPr>
        <w:t>article 77 §§ 2 et 3 du règlement de la Cour.</w:t>
      </w:r>
    </w:p>
    <w:p w:rsidR="00F32B22" w:rsidRPr="00E37CB1" w:rsidRDefault="00883DE6" w:rsidP="00187944">
      <w:pPr>
        <w:pStyle w:val="JuSigned"/>
        <w:keepNext/>
        <w:keepLines/>
        <w:rPr>
          <w:lang w:val="fr-FR"/>
        </w:rPr>
      </w:pPr>
      <w:r>
        <w:rPr>
          <w:lang w:val="fr-FR"/>
        </w:rPr>
        <w:tab/>
      </w:r>
      <w:proofErr w:type="spellStart"/>
      <w:r w:rsidR="00F32B22">
        <w:rPr>
          <w:lang w:val="fr-FR"/>
        </w:rPr>
        <w:t>Fatoş</w:t>
      </w:r>
      <w:proofErr w:type="spellEnd"/>
      <w:r w:rsidR="00F32B22" w:rsidRPr="005E37C6">
        <w:rPr>
          <w:lang w:val="fr-FR"/>
        </w:rPr>
        <w:t xml:space="preserve"> </w:t>
      </w:r>
      <w:proofErr w:type="spellStart"/>
      <w:r w:rsidR="00F32B22">
        <w:rPr>
          <w:lang w:val="fr-FR"/>
        </w:rPr>
        <w:t>Aracı</w:t>
      </w:r>
      <w:proofErr w:type="spellEnd"/>
      <w:r w:rsidR="00F32B22" w:rsidRPr="005E37C6">
        <w:rPr>
          <w:lang w:val="fr-FR"/>
        </w:rPr>
        <w:tab/>
      </w:r>
      <w:proofErr w:type="spellStart"/>
      <w:r w:rsidR="00F32B22" w:rsidRPr="001D3CFE">
        <w:rPr>
          <w:lang w:val="fr-FR"/>
        </w:rPr>
        <w:t>Ledi</w:t>
      </w:r>
      <w:proofErr w:type="spellEnd"/>
      <w:r w:rsidR="00F32B22">
        <w:rPr>
          <w:lang w:val="fr-FR"/>
        </w:rPr>
        <w:t xml:space="preserve"> </w:t>
      </w:r>
      <w:proofErr w:type="spellStart"/>
      <w:r w:rsidR="00F32B22" w:rsidRPr="001D3CFE">
        <w:rPr>
          <w:lang w:val="fr-FR"/>
        </w:rPr>
        <w:t>Bianku</w:t>
      </w:r>
      <w:proofErr w:type="spellEnd"/>
      <w:r w:rsidR="00F32B22" w:rsidRPr="005E37C6">
        <w:rPr>
          <w:szCs w:val="24"/>
          <w:lang w:val="fr-FR"/>
        </w:rPr>
        <w:t xml:space="preserve"> </w:t>
      </w:r>
      <w:r w:rsidR="00F32B22" w:rsidRPr="005E37C6">
        <w:rPr>
          <w:lang w:val="fr-FR"/>
        </w:rPr>
        <w:br/>
      </w:r>
      <w:r w:rsidR="00F32B22" w:rsidRPr="005E37C6">
        <w:rPr>
          <w:lang w:val="fr-FR"/>
        </w:rPr>
        <w:tab/>
        <w:t>Greffière adjointe</w:t>
      </w:r>
      <w:r w:rsidR="00F32B22" w:rsidRPr="005E37C6">
        <w:rPr>
          <w:lang w:val="fr-FR"/>
        </w:rPr>
        <w:tab/>
      </w:r>
      <w:r w:rsidR="00F32B22" w:rsidRPr="005E37C6">
        <w:rPr>
          <w:szCs w:val="24"/>
          <w:lang w:val="fr-FR"/>
        </w:rPr>
        <w:t>Président</w:t>
      </w:r>
    </w:p>
    <w:p w:rsidR="004D15F3" w:rsidRPr="00F32B22" w:rsidRDefault="004D15F3" w:rsidP="00F32B22">
      <w:pPr>
        <w:rPr>
          <w:lang w:val="fr-FR"/>
        </w:rPr>
      </w:pPr>
    </w:p>
    <w:sectPr w:rsidR="004D15F3" w:rsidRPr="00F32B22" w:rsidSect="008C0F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74" w:right="2274" w:bottom="2274" w:left="2274" w:header="170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56" w:rsidRDefault="00531C56" w:rsidP="00E77CB3">
      <w:r>
        <w:separator/>
      </w:r>
    </w:p>
  </w:endnote>
  <w:endnote w:type="continuationSeparator" w:id="0">
    <w:p w:rsidR="00531C56" w:rsidRDefault="00531C56" w:rsidP="00E7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22" w:rsidRPr="00150BFA" w:rsidRDefault="00F32B2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F9F99B2" wp14:editId="18D80F2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B22" w:rsidRDefault="00F32B22" w:rsidP="005072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C1" w:rsidRDefault="00DF7AC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C1" w:rsidRDefault="00DF7AC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C1" w:rsidRDefault="00DF7A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56" w:rsidRDefault="00531C56" w:rsidP="00E77CB3">
      <w:r>
        <w:separator/>
      </w:r>
    </w:p>
  </w:footnote>
  <w:footnote w:type="continuationSeparator" w:id="0">
    <w:p w:rsidR="00531C56" w:rsidRDefault="00531C56" w:rsidP="00E7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22" w:rsidRPr="00A45145" w:rsidRDefault="00F32B2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D1AC4EB" wp14:editId="77013A0B">
          <wp:extent cx="2962275" cy="1219200"/>
          <wp:effectExtent l="0" t="0" r="9525" b="0"/>
          <wp:docPr id="4" name="Picture 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B22" w:rsidRDefault="00F32B22" w:rsidP="00F5432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D5" w:rsidRPr="007C1651" w:rsidRDefault="00DF7AC1" w:rsidP="00C611D8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7C1651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761B50">
      <w:rPr>
        <w:rStyle w:val="Numeropagina"/>
        <w:noProof/>
        <w:lang w:val="fr-FR"/>
      </w:rPr>
      <w:t>6</w:t>
    </w:r>
    <w:r>
      <w:rPr>
        <w:rStyle w:val="Numeropagina"/>
      </w:rPr>
      <w:fldChar w:fldCharType="end"/>
    </w:r>
    <w:r w:rsidR="00926AD5" w:rsidRPr="007C1651">
      <w:rPr>
        <w:rStyle w:val="Numeropagina"/>
        <w:lang w:val="fr-FR"/>
      </w:rPr>
      <w:tab/>
    </w:r>
    <w:r w:rsidR="007C1651" w:rsidRPr="007C1651">
      <w:rPr>
        <w:rFonts w:ascii="Times New Roman" w:hAnsi="Times New Roman"/>
        <w:lang w:val="fr-FR"/>
      </w:rPr>
      <w:t>ARRÊT</w:t>
    </w:r>
    <w:r w:rsidR="00926AD5" w:rsidRPr="007C1651">
      <w:rPr>
        <w:lang w:val="fr-FR"/>
      </w:rPr>
      <w:t xml:space="preserve"> </w:t>
    </w:r>
    <w:r w:rsidRPr="007C1651">
      <w:rPr>
        <w:lang w:val="fr-FR"/>
      </w:rPr>
      <w:t>PELLITTERI ET LUPO c. ITALIE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D5" w:rsidRPr="008C0F5E" w:rsidRDefault="00926AD5" w:rsidP="00C63990">
    <w:pPr>
      <w:pStyle w:val="ECHRHeader"/>
      <w:rPr>
        <w:lang w:val="fr-FR"/>
      </w:rPr>
    </w:pPr>
    <w:r w:rsidRPr="00C63990">
      <w:rPr>
        <w:lang w:val="fr-FR"/>
      </w:rPr>
      <w:tab/>
    </w:r>
    <w:r w:rsidR="00F254E9" w:rsidRPr="008C0F5E">
      <w:rPr>
        <w:rFonts w:ascii="Times New Roman" w:hAnsi="Times New Roman"/>
        <w:lang w:val="fr-FR"/>
      </w:rPr>
      <w:t>ARRÊT</w:t>
    </w:r>
    <w:r w:rsidRPr="008C0F5E">
      <w:rPr>
        <w:lang w:val="fr-FR"/>
      </w:rPr>
      <w:t xml:space="preserve"> </w:t>
    </w:r>
    <w:r w:rsidR="00DF7AC1" w:rsidRPr="008C0F5E">
      <w:rPr>
        <w:lang w:val="fr-FR"/>
      </w:rPr>
      <w:t>PELLITTERI ET LUPO c. ITALIE</w:t>
    </w:r>
    <w:r w:rsidRPr="008C0F5E">
      <w:rPr>
        <w:lang w:val="fr-FR"/>
      </w:rPr>
      <w:tab/>
    </w:r>
    <w:r w:rsidR="00DF7AC1">
      <w:rPr>
        <w:rStyle w:val="Numeropagina"/>
      </w:rPr>
      <w:fldChar w:fldCharType="begin"/>
    </w:r>
    <w:r w:rsidR="00DF7AC1" w:rsidRPr="008C0F5E">
      <w:rPr>
        <w:rStyle w:val="Numeropagina"/>
        <w:lang w:val="fr-FR"/>
      </w:rPr>
      <w:instrText xml:space="preserve"> PAGE </w:instrText>
    </w:r>
    <w:r w:rsidR="00DF7AC1">
      <w:rPr>
        <w:rStyle w:val="Numeropagina"/>
      </w:rPr>
      <w:fldChar w:fldCharType="separate"/>
    </w:r>
    <w:r w:rsidR="00761B50">
      <w:rPr>
        <w:rStyle w:val="Numeropagina"/>
        <w:noProof/>
        <w:lang w:val="fr-FR"/>
      </w:rPr>
      <w:t>5</w:t>
    </w:r>
    <w:r w:rsidR="00DF7AC1">
      <w:rPr>
        <w:rStyle w:val="Numeropagina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5E" w:rsidRPr="008C0F5E" w:rsidRDefault="008C0F5E" w:rsidP="008C0F5E">
    <w:pPr>
      <w:pStyle w:val="ECHRHeader"/>
      <w:rPr>
        <w:lang w:val="fr-FR"/>
      </w:rPr>
    </w:pPr>
    <w:r w:rsidRPr="00C63990">
      <w:rPr>
        <w:lang w:val="fr-FR"/>
      </w:rPr>
      <w:tab/>
    </w:r>
    <w:r w:rsidRPr="008C0F5E">
      <w:rPr>
        <w:rFonts w:ascii="Times New Roman" w:hAnsi="Times New Roman"/>
        <w:lang w:val="fr-FR"/>
      </w:rPr>
      <w:t>ARRÊT</w:t>
    </w:r>
    <w:r w:rsidRPr="008C0F5E">
      <w:rPr>
        <w:lang w:val="fr-FR"/>
      </w:rPr>
      <w:t xml:space="preserve"> PELLITTERI ET LUPO c. ITALIE</w:t>
    </w:r>
    <w:r w:rsidRPr="008C0F5E">
      <w:rPr>
        <w:lang w:val="fr-FR"/>
      </w:rPr>
      <w:tab/>
    </w:r>
    <w:r>
      <w:rPr>
        <w:rStyle w:val="Numeropagina"/>
      </w:rPr>
      <w:fldChar w:fldCharType="begin"/>
    </w:r>
    <w:r w:rsidRPr="008C0F5E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761B50">
      <w:rPr>
        <w:rStyle w:val="Numeropagina"/>
        <w:noProof/>
        <w:lang w:val="fr-FR"/>
      </w:rPr>
      <w:t>1</w:t>
    </w:r>
    <w:r>
      <w:rPr>
        <w:rStyle w:val="Numeropagina"/>
      </w:rPr>
      <w:fldChar w:fldCharType="end"/>
    </w:r>
  </w:p>
  <w:p w:rsidR="00DF7AC1" w:rsidRPr="008C0F5E" w:rsidRDefault="00DF7AC1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A222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9B2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4301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68F2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0A71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8292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AD30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1D4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43E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5D7306C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4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2"/>
  </w:num>
  <w:num w:numId="16">
    <w:abstractNumId w:val="26"/>
  </w:num>
  <w:num w:numId="17">
    <w:abstractNumId w:val="45"/>
  </w:num>
  <w:num w:numId="18">
    <w:abstractNumId w:val="40"/>
  </w:num>
  <w:num w:numId="19">
    <w:abstractNumId w:val="35"/>
  </w:num>
  <w:num w:numId="20">
    <w:abstractNumId w:val="36"/>
  </w:num>
  <w:num w:numId="21">
    <w:abstractNumId w:val="25"/>
  </w:num>
  <w:num w:numId="22">
    <w:abstractNumId w:val="15"/>
  </w:num>
  <w:num w:numId="23">
    <w:abstractNumId w:val="19"/>
  </w:num>
  <w:num w:numId="24">
    <w:abstractNumId w:val="38"/>
  </w:num>
  <w:num w:numId="25">
    <w:abstractNumId w:val="34"/>
  </w:num>
  <w:num w:numId="26">
    <w:abstractNumId w:val="37"/>
  </w:num>
  <w:num w:numId="27">
    <w:abstractNumId w:val="43"/>
  </w:num>
  <w:num w:numId="28">
    <w:abstractNumId w:val="23"/>
  </w:num>
  <w:num w:numId="29">
    <w:abstractNumId w:val="11"/>
  </w:num>
  <w:num w:numId="30">
    <w:abstractNumId w:val="31"/>
  </w:num>
  <w:num w:numId="31">
    <w:abstractNumId w:val="16"/>
  </w:num>
  <w:num w:numId="32">
    <w:abstractNumId w:val="3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12"/>
  </w:num>
  <w:num w:numId="36">
    <w:abstractNumId w:val="32"/>
  </w:num>
  <w:num w:numId="37">
    <w:abstractNumId w:val="28"/>
  </w:num>
  <w:num w:numId="38">
    <w:abstractNumId w:val="29"/>
  </w:num>
  <w:num w:numId="39">
    <w:abstractNumId w:val="1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4"/>
  </w:num>
  <w:num w:numId="44">
    <w:abstractNumId w:val="33"/>
  </w:num>
  <w:num w:numId="45">
    <w:abstractNumId w:val="30"/>
  </w:num>
  <w:num w:numId="46">
    <w:abstractNumId w:val="42"/>
  </w:num>
  <w:num w:numId="47">
    <w:abstractNumId w:val="20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DF7AC1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63"/>
    <w:rsid w:val="000346E8"/>
    <w:rsid w:val="00034987"/>
    <w:rsid w:val="00035ECE"/>
    <w:rsid w:val="00041EB2"/>
    <w:rsid w:val="000441DA"/>
    <w:rsid w:val="0005753F"/>
    <w:rsid w:val="000578E6"/>
    <w:rsid w:val="000602DF"/>
    <w:rsid w:val="00061B05"/>
    <w:rsid w:val="000632D5"/>
    <w:rsid w:val="000644EE"/>
    <w:rsid w:val="00066A71"/>
    <w:rsid w:val="00070A08"/>
    <w:rsid w:val="000744E8"/>
    <w:rsid w:val="0009134D"/>
    <w:rsid w:val="000925AD"/>
    <w:rsid w:val="000A24EB"/>
    <w:rsid w:val="000B6923"/>
    <w:rsid w:val="000C130E"/>
    <w:rsid w:val="000C4525"/>
    <w:rsid w:val="000C5F3C"/>
    <w:rsid w:val="000C6DCC"/>
    <w:rsid w:val="000D47AA"/>
    <w:rsid w:val="000D5764"/>
    <w:rsid w:val="000D69FD"/>
    <w:rsid w:val="000D721F"/>
    <w:rsid w:val="000E069B"/>
    <w:rsid w:val="000E0E82"/>
    <w:rsid w:val="000E1DC5"/>
    <w:rsid w:val="000E223F"/>
    <w:rsid w:val="000E7D45"/>
    <w:rsid w:val="000F00EF"/>
    <w:rsid w:val="000F7851"/>
    <w:rsid w:val="001034DA"/>
    <w:rsid w:val="00104E23"/>
    <w:rsid w:val="00111B0C"/>
    <w:rsid w:val="00113D94"/>
    <w:rsid w:val="001142B9"/>
    <w:rsid w:val="00120D6C"/>
    <w:rsid w:val="001257EC"/>
    <w:rsid w:val="00133D33"/>
    <w:rsid w:val="00134D64"/>
    <w:rsid w:val="00135A30"/>
    <w:rsid w:val="0013612C"/>
    <w:rsid w:val="00137FF6"/>
    <w:rsid w:val="001407E7"/>
    <w:rsid w:val="00141650"/>
    <w:rsid w:val="00142F23"/>
    <w:rsid w:val="00162A12"/>
    <w:rsid w:val="001650C4"/>
    <w:rsid w:val="00166530"/>
    <w:rsid w:val="001758BB"/>
    <w:rsid w:val="001832BD"/>
    <w:rsid w:val="00187944"/>
    <w:rsid w:val="00193150"/>
    <w:rsid w:val="001939ED"/>
    <w:rsid w:val="001943B5"/>
    <w:rsid w:val="00195134"/>
    <w:rsid w:val="001A145B"/>
    <w:rsid w:val="001A674C"/>
    <w:rsid w:val="001B3B24"/>
    <w:rsid w:val="001C0F98"/>
    <w:rsid w:val="001C2A42"/>
    <w:rsid w:val="001D3CFE"/>
    <w:rsid w:val="001D63ED"/>
    <w:rsid w:val="001D6580"/>
    <w:rsid w:val="001D7348"/>
    <w:rsid w:val="001E035B"/>
    <w:rsid w:val="001E0961"/>
    <w:rsid w:val="001E3EAE"/>
    <w:rsid w:val="001E6F32"/>
    <w:rsid w:val="001F2145"/>
    <w:rsid w:val="001F4415"/>
    <w:rsid w:val="001F6262"/>
    <w:rsid w:val="001F67B0"/>
    <w:rsid w:val="001F7B3D"/>
    <w:rsid w:val="00200D49"/>
    <w:rsid w:val="002011A0"/>
    <w:rsid w:val="00205F9F"/>
    <w:rsid w:val="00210338"/>
    <w:rsid w:val="002115FC"/>
    <w:rsid w:val="00212B2C"/>
    <w:rsid w:val="0021423C"/>
    <w:rsid w:val="00230D00"/>
    <w:rsid w:val="00231DF7"/>
    <w:rsid w:val="00231FD1"/>
    <w:rsid w:val="0023380D"/>
    <w:rsid w:val="002339E0"/>
    <w:rsid w:val="00233CF8"/>
    <w:rsid w:val="0023575D"/>
    <w:rsid w:val="00237148"/>
    <w:rsid w:val="0024222D"/>
    <w:rsid w:val="00244243"/>
    <w:rsid w:val="00244B0E"/>
    <w:rsid w:val="00244F6C"/>
    <w:rsid w:val="002532C5"/>
    <w:rsid w:val="00255F8C"/>
    <w:rsid w:val="002574F5"/>
    <w:rsid w:val="00260C03"/>
    <w:rsid w:val="0026540E"/>
    <w:rsid w:val="002660E9"/>
    <w:rsid w:val="00275123"/>
    <w:rsid w:val="00276368"/>
    <w:rsid w:val="00282240"/>
    <w:rsid w:val="002837BD"/>
    <w:rsid w:val="00291668"/>
    <w:rsid w:val="00292482"/>
    <w:rsid w:val="002948AD"/>
    <w:rsid w:val="0029772A"/>
    <w:rsid w:val="002A01CC"/>
    <w:rsid w:val="002A2DF8"/>
    <w:rsid w:val="002A42FC"/>
    <w:rsid w:val="002A61B1"/>
    <w:rsid w:val="002A663C"/>
    <w:rsid w:val="002B444B"/>
    <w:rsid w:val="002B4917"/>
    <w:rsid w:val="002B5887"/>
    <w:rsid w:val="002C0330"/>
    <w:rsid w:val="002C0E27"/>
    <w:rsid w:val="002C24FD"/>
    <w:rsid w:val="002C3040"/>
    <w:rsid w:val="002D022D"/>
    <w:rsid w:val="002D249E"/>
    <w:rsid w:val="002D24BB"/>
    <w:rsid w:val="002D54EF"/>
    <w:rsid w:val="002D7D58"/>
    <w:rsid w:val="002E02CB"/>
    <w:rsid w:val="002E231D"/>
    <w:rsid w:val="002E434F"/>
    <w:rsid w:val="002E5CE7"/>
    <w:rsid w:val="002F2AF7"/>
    <w:rsid w:val="002F7E1C"/>
    <w:rsid w:val="00301A75"/>
    <w:rsid w:val="00302F70"/>
    <w:rsid w:val="0030336F"/>
    <w:rsid w:val="0030375E"/>
    <w:rsid w:val="00307076"/>
    <w:rsid w:val="00312A30"/>
    <w:rsid w:val="00314D34"/>
    <w:rsid w:val="00316257"/>
    <w:rsid w:val="00320F72"/>
    <w:rsid w:val="0032463E"/>
    <w:rsid w:val="00326224"/>
    <w:rsid w:val="00333591"/>
    <w:rsid w:val="003359E9"/>
    <w:rsid w:val="00337EE4"/>
    <w:rsid w:val="00340FFD"/>
    <w:rsid w:val="003506B1"/>
    <w:rsid w:val="00354EAF"/>
    <w:rsid w:val="00354F8C"/>
    <w:rsid w:val="00356AC7"/>
    <w:rsid w:val="003609FA"/>
    <w:rsid w:val="003614BA"/>
    <w:rsid w:val="00363F98"/>
    <w:rsid w:val="003650B9"/>
    <w:rsid w:val="0037024A"/>
    <w:rsid w:val="003710C8"/>
    <w:rsid w:val="003750BE"/>
    <w:rsid w:val="0038223B"/>
    <w:rsid w:val="00387B9D"/>
    <w:rsid w:val="0039364F"/>
    <w:rsid w:val="00396686"/>
    <w:rsid w:val="0039778E"/>
    <w:rsid w:val="003B2814"/>
    <w:rsid w:val="003B4941"/>
    <w:rsid w:val="003B5510"/>
    <w:rsid w:val="003C4EF2"/>
    <w:rsid w:val="003C5714"/>
    <w:rsid w:val="003C6B9F"/>
    <w:rsid w:val="003C6E2A"/>
    <w:rsid w:val="003D0299"/>
    <w:rsid w:val="003E2B54"/>
    <w:rsid w:val="003E6D80"/>
    <w:rsid w:val="003F05FA"/>
    <w:rsid w:val="003F244A"/>
    <w:rsid w:val="003F30B8"/>
    <w:rsid w:val="003F4C45"/>
    <w:rsid w:val="003F5F7B"/>
    <w:rsid w:val="003F7D64"/>
    <w:rsid w:val="00402F02"/>
    <w:rsid w:val="00414300"/>
    <w:rsid w:val="00422128"/>
    <w:rsid w:val="004235DB"/>
    <w:rsid w:val="00425C67"/>
    <w:rsid w:val="00427E7A"/>
    <w:rsid w:val="00436C49"/>
    <w:rsid w:val="0043750D"/>
    <w:rsid w:val="00440876"/>
    <w:rsid w:val="00445366"/>
    <w:rsid w:val="00447F5B"/>
    <w:rsid w:val="00461DB0"/>
    <w:rsid w:val="00463926"/>
    <w:rsid w:val="00464C9A"/>
    <w:rsid w:val="004741F5"/>
    <w:rsid w:val="00474F3D"/>
    <w:rsid w:val="00477E3A"/>
    <w:rsid w:val="00480849"/>
    <w:rsid w:val="00483E5F"/>
    <w:rsid w:val="00485FF9"/>
    <w:rsid w:val="0048626A"/>
    <w:rsid w:val="004907F0"/>
    <w:rsid w:val="0049140B"/>
    <w:rsid w:val="004923A5"/>
    <w:rsid w:val="00495F84"/>
    <w:rsid w:val="00496BFB"/>
    <w:rsid w:val="004A15C7"/>
    <w:rsid w:val="004A5DBC"/>
    <w:rsid w:val="004B013B"/>
    <w:rsid w:val="004B112B"/>
    <w:rsid w:val="004B5A59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2979"/>
    <w:rsid w:val="004F304D"/>
    <w:rsid w:val="004F3A2F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C56"/>
    <w:rsid w:val="00531DF2"/>
    <w:rsid w:val="005442EE"/>
    <w:rsid w:val="00547353"/>
    <w:rsid w:val="005474E7"/>
    <w:rsid w:val="005512A3"/>
    <w:rsid w:val="00556CB1"/>
    <w:rsid w:val="005578CE"/>
    <w:rsid w:val="00562781"/>
    <w:rsid w:val="005644C0"/>
    <w:rsid w:val="0057271C"/>
    <w:rsid w:val="00572845"/>
    <w:rsid w:val="00574C8C"/>
    <w:rsid w:val="005808C3"/>
    <w:rsid w:val="005921BA"/>
    <w:rsid w:val="00592772"/>
    <w:rsid w:val="0059436D"/>
    <w:rsid w:val="00595305"/>
    <w:rsid w:val="0059574A"/>
    <w:rsid w:val="00596468"/>
    <w:rsid w:val="005A02CB"/>
    <w:rsid w:val="005A1B9B"/>
    <w:rsid w:val="005A652F"/>
    <w:rsid w:val="005A6751"/>
    <w:rsid w:val="005B092E"/>
    <w:rsid w:val="005B152C"/>
    <w:rsid w:val="005B1EE0"/>
    <w:rsid w:val="005B2B24"/>
    <w:rsid w:val="005B4425"/>
    <w:rsid w:val="005B4B94"/>
    <w:rsid w:val="005C0867"/>
    <w:rsid w:val="005C3EE8"/>
    <w:rsid w:val="005C3F15"/>
    <w:rsid w:val="005C5242"/>
    <w:rsid w:val="005D34F9"/>
    <w:rsid w:val="005D4190"/>
    <w:rsid w:val="005D67A3"/>
    <w:rsid w:val="005E2988"/>
    <w:rsid w:val="005E3085"/>
    <w:rsid w:val="005E37C6"/>
    <w:rsid w:val="005F51E1"/>
    <w:rsid w:val="00611A4A"/>
    <w:rsid w:val="00611C80"/>
    <w:rsid w:val="00620692"/>
    <w:rsid w:val="006242CA"/>
    <w:rsid w:val="00627507"/>
    <w:rsid w:val="00633717"/>
    <w:rsid w:val="006344E1"/>
    <w:rsid w:val="00636A58"/>
    <w:rsid w:val="006545C4"/>
    <w:rsid w:val="006551B2"/>
    <w:rsid w:val="00661971"/>
    <w:rsid w:val="00661CE8"/>
    <w:rsid w:val="006623D9"/>
    <w:rsid w:val="00664F5E"/>
    <w:rsid w:val="0066550C"/>
    <w:rsid w:val="00667A86"/>
    <w:rsid w:val="00667B26"/>
    <w:rsid w:val="006716F2"/>
    <w:rsid w:val="00672C54"/>
    <w:rsid w:val="00675DAF"/>
    <w:rsid w:val="00682BF2"/>
    <w:rsid w:val="006859CE"/>
    <w:rsid w:val="00691270"/>
    <w:rsid w:val="00694A2E"/>
    <w:rsid w:val="00694BA8"/>
    <w:rsid w:val="006A037C"/>
    <w:rsid w:val="006A36F4"/>
    <w:rsid w:val="006A406F"/>
    <w:rsid w:val="006A5D3A"/>
    <w:rsid w:val="006B4421"/>
    <w:rsid w:val="006C1BCB"/>
    <w:rsid w:val="006C23D4"/>
    <w:rsid w:val="006C7BB0"/>
    <w:rsid w:val="006D0B59"/>
    <w:rsid w:val="006D3237"/>
    <w:rsid w:val="006E2E37"/>
    <w:rsid w:val="006E3CF1"/>
    <w:rsid w:val="006E7E80"/>
    <w:rsid w:val="006F48CA"/>
    <w:rsid w:val="006F60A6"/>
    <w:rsid w:val="006F64DD"/>
    <w:rsid w:val="00702C2F"/>
    <w:rsid w:val="00706284"/>
    <w:rsid w:val="00714ECC"/>
    <w:rsid w:val="00715127"/>
    <w:rsid w:val="00715E8E"/>
    <w:rsid w:val="00723580"/>
    <w:rsid w:val="00723755"/>
    <w:rsid w:val="00724109"/>
    <w:rsid w:val="0073136C"/>
    <w:rsid w:val="00731F0F"/>
    <w:rsid w:val="007322BA"/>
    <w:rsid w:val="00733250"/>
    <w:rsid w:val="00741404"/>
    <w:rsid w:val="007449E5"/>
    <w:rsid w:val="00747FF0"/>
    <w:rsid w:val="00761B50"/>
    <w:rsid w:val="00764D4E"/>
    <w:rsid w:val="00764DDB"/>
    <w:rsid w:val="00765A1F"/>
    <w:rsid w:val="007661CF"/>
    <w:rsid w:val="00770380"/>
    <w:rsid w:val="00775B6D"/>
    <w:rsid w:val="00776D68"/>
    <w:rsid w:val="007850EE"/>
    <w:rsid w:val="00785B95"/>
    <w:rsid w:val="00790E96"/>
    <w:rsid w:val="0079133A"/>
    <w:rsid w:val="00793366"/>
    <w:rsid w:val="007952DA"/>
    <w:rsid w:val="00796CAD"/>
    <w:rsid w:val="007A716F"/>
    <w:rsid w:val="007B270A"/>
    <w:rsid w:val="007B4B56"/>
    <w:rsid w:val="007C0695"/>
    <w:rsid w:val="007C1651"/>
    <w:rsid w:val="007C419A"/>
    <w:rsid w:val="007C4CC8"/>
    <w:rsid w:val="007C5426"/>
    <w:rsid w:val="007C5798"/>
    <w:rsid w:val="007D4799"/>
    <w:rsid w:val="007D4832"/>
    <w:rsid w:val="007E214B"/>
    <w:rsid w:val="007E21B2"/>
    <w:rsid w:val="007E2A29"/>
    <w:rsid w:val="007E2C4E"/>
    <w:rsid w:val="007E3ED4"/>
    <w:rsid w:val="007E48C2"/>
    <w:rsid w:val="007E65A0"/>
    <w:rsid w:val="007F08DB"/>
    <w:rsid w:val="007F1905"/>
    <w:rsid w:val="00801300"/>
    <w:rsid w:val="00802C64"/>
    <w:rsid w:val="00805E52"/>
    <w:rsid w:val="008061D0"/>
    <w:rsid w:val="00810B38"/>
    <w:rsid w:val="0081304A"/>
    <w:rsid w:val="008204C7"/>
    <w:rsid w:val="00820992"/>
    <w:rsid w:val="00823602"/>
    <w:rsid w:val="008255F5"/>
    <w:rsid w:val="00825D8D"/>
    <w:rsid w:val="0083014E"/>
    <w:rsid w:val="0083214A"/>
    <w:rsid w:val="00834220"/>
    <w:rsid w:val="0084351A"/>
    <w:rsid w:val="00845723"/>
    <w:rsid w:val="00851EF9"/>
    <w:rsid w:val="008577FD"/>
    <w:rsid w:val="00860B03"/>
    <w:rsid w:val="00860F3C"/>
    <w:rsid w:val="0086497A"/>
    <w:rsid w:val="00866BB4"/>
    <w:rsid w:val="008713A1"/>
    <w:rsid w:val="008754AB"/>
    <w:rsid w:val="0088060C"/>
    <w:rsid w:val="00883DE6"/>
    <w:rsid w:val="00893576"/>
    <w:rsid w:val="00893E73"/>
    <w:rsid w:val="008A062D"/>
    <w:rsid w:val="008A7C9A"/>
    <w:rsid w:val="008B02DC"/>
    <w:rsid w:val="008B57CE"/>
    <w:rsid w:val="008C0F5E"/>
    <w:rsid w:val="008C26DE"/>
    <w:rsid w:val="008C6BA6"/>
    <w:rsid w:val="008D2225"/>
    <w:rsid w:val="008D2733"/>
    <w:rsid w:val="008D4752"/>
    <w:rsid w:val="008D6700"/>
    <w:rsid w:val="008D7269"/>
    <w:rsid w:val="008D7298"/>
    <w:rsid w:val="008E1098"/>
    <w:rsid w:val="008E271C"/>
    <w:rsid w:val="008E418E"/>
    <w:rsid w:val="008E51A6"/>
    <w:rsid w:val="008E5BC6"/>
    <w:rsid w:val="008E6A25"/>
    <w:rsid w:val="008F5193"/>
    <w:rsid w:val="009013A7"/>
    <w:rsid w:val="009017FB"/>
    <w:rsid w:val="009017FC"/>
    <w:rsid w:val="00902CE9"/>
    <w:rsid w:val="0090506B"/>
    <w:rsid w:val="009050C9"/>
    <w:rsid w:val="009066FC"/>
    <w:rsid w:val="00907FD0"/>
    <w:rsid w:val="009140A3"/>
    <w:rsid w:val="009144A2"/>
    <w:rsid w:val="0091510C"/>
    <w:rsid w:val="009259AC"/>
    <w:rsid w:val="00926AD5"/>
    <w:rsid w:val="00926F38"/>
    <w:rsid w:val="00934301"/>
    <w:rsid w:val="00936C2D"/>
    <w:rsid w:val="00936CD1"/>
    <w:rsid w:val="009408AC"/>
    <w:rsid w:val="00941747"/>
    <w:rsid w:val="00941EFB"/>
    <w:rsid w:val="009440AF"/>
    <w:rsid w:val="009448DB"/>
    <w:rsid w:val="00947AFB"/>
    <w:rsid w:val="00951D7D"/>
    <w:rsid w:val="009630C7"/>
    <w:rsid w:val="00972B55"/>
    <w:rsid w:val="009743B7"/>
    <w:rsid w:val="0098228B"/>
    <w:rsid w:val="009828DA"/>
    <w:rsid w:val="00985BAB"/>
    <w:rsid w:val="00991288"/>
    <w:rsid w:val="00995FE0"/>
    <w:rsid w:val="009A446E"/>
    <w:rsid w:val="009B1B5F"/>
    <w:rsid w:val="009B272B"/>
    <w:rsid w:val="009B6673"/>
    <w:rsid w:val="009C191B"/>
    <w:rsid w:val="009C1F36"/>
    <w:rsid w:val="009C2BD6"/>
    <w:rsid w:val="009D6A1B"/>
    <w:rsid w:val="009E1F32"/>
    <w:rsid w:val="009E776C"/>
    <w:rsid w:val="009F59A4"/>
    <w:rsid w:val="00A00144"/>
    <w:rsid w:val="00A052EA"/>
    <w:rsid w:val="00A05E45"/>
    <w:rsid w:val="00A0712A"/>
    <w:rsid w:val="00A1726E"/>
    <w:rsid w:val="00A204CF"/>
    <w:rsid w:val="00A23D49"/>
    <w:rsid w:val="00A27004"/>
    <w:rsid w:val="00A30C29"/>
    <w:rsid w:val="00A3291F"/>
    <w:rsid w:val="00A34DD6"/>
    <w:rsid w:val="00A36819"/>
    <w:rsid w:val="00A36989"/>
    <w:rsid w:val="00A43628"/>
    <w:rsid w:val="00A54192"/>
    <w:rsid w:val="00A57E11"/>
    <w:rsid w:val="00A6035E"/>
    <w:rsid w:val="00A6144C"/>
    <w:rsid w:val="00A66617"/>
    <w:rsid w:val="00A671F8"/>
    <w:rsid w:val="00A673A4"/>
    <w:rsid w:val="00A724AE"/>
    <w:rsid w:val="00A72EEB"/>
    <w:rsid w:val="00A73329"/>
    <w:rsid w:val="00A74BC1"/>
    <w:rsid w:val="00A82359"/>
    <w:rsid w:val="00A84E12"/>
    <w:rsid w:val="00A865D2"/>
    <w:rsid w:val="00A94C20"/>
    <w:rsid w:val="00AA227F"/>
    <w:rsid w:val="00AA2AAF"/>
    <w:rsid w:val="00AA3BC7"/>
    <w:rsid w:val="00AA754A"/>
    <w:rsid w:val="00AB099E"/>
    <w:rsid w:val="00AB4328"/>
    <w:rsid w:val="00AC0824"/>
    <w:rsid w:val="00AD412E"/>
    <w:rsid w:val="00AE0A2E"/>
    <w:rsid w:val="00AE354C"/>
    <w:rsid w:val="00AE3A2C"/>
    <w:rsid w:val="00AE4E63"/>
    <w:rsid w:val="00AF4B07"/>
    <w:rsid w:val="00AF6186"/>
    <w:rsid w:val="00AF7A3A"/>
    <w:rsid w:val="00B160DB"/>
    <w:rsid w:val="00B160E4"/>
    <w:rsid w:val="00B20836"/>
    <w:rsid w:val="00B235BB"/>
    <w:rsid w:val="00B27A44"/>
    <w:rsid w:val="00B30834"/>
    <w:rsid w:val="00B30BBF"/>
    <w:rsid w:val="00B311F0"/>
    <w:rsid w:val="00B33C03"/>
    <w:rsid w:val="00B40EF2"/>
    <w:rsid w:val="00B44E56"/>
    <w:rsid w:val="00B46543"/>
    <w:rsid w:val="00B47D33"/>
    <w:rsid w:val="00B51BBD"/>
    <w:rsid w:val="00B52BE0"/>
    <w:rsid w:val="00B54133"/>
    <w:rsid w:val="00B701ED"/>
    <w:rsid w:val="00B72B37"/>
    <w:rsid w:val="00B8086C"/>
    <w:rsid w:val="00B80931"/>
    <w:rsid w:val="00B83578"/>
    <w:rsid w:val="00B861B4"/>
    <w:rsid w:val="00B86681"/>
    <w:rsid w:val="00B86DFE"/>
    <w:rsid w:val="00B872B9"/>
    <w:rsid w:val="00B90990"/>
    <w:rsid w:val="00B922FF"/>
    <w:rsid w:val="00B9281E"/>
    <w:rsid w:val="00B93925"/>
    <w:rsid w:val="00B95187"/>
    <w:rsid w:val="00B9776F"/>
    <w:rsid w:val="00BA2D55"/>
    <w:rsid w:val="00BA71B1"/>
    <w:rsid w:val="00BB0637"/>
    <w:rsid w:val="00BB345F"/>
    <w:rsid w:val="00BB68EA"/>
    <w:rsid w:val="00BC1C27"/>
    <w:rsid w:val="00BC4A8F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06E15"/>
    <w:rsid w:val="00C1262B"/>
    <w:rsid w:val="00C22687"/>
    <w:rsid w:val="00C3003A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1D8"/>
    <w:rsid w:val="00C6152C"/>
    <w:rsid w:val="00C63990"/>
    <w:rsid w:val="00C64EF6"/>
    <w:rsid w:val="00C704C1"/>
    <w:rsid w:val="00C728F3"/>
    <w:rsid w:val="00C74810"/>
    <w:rsid w:val="00C90D68"/>
    <w:rsid w:val="00C939FE"/>
    <w:rsid w:val="00C953C5"/>
    <w:rsid w:val="00CA2B55"/>
    <w:rsid w:val="00CA440C"/>
    <w:rsid w:val="00CA4BDA"/>
    <w:rsid w:val="00CB1F66"/>
    <w:rsid w:val="00CB2951"/>
    <w:rsid w:val="00CC71E6"/>
    <w:rsid w:val="00CC79E5"/>
    <w:rsid w:val="00CD282B"/>
    <w:rsid w:val="00CD4C35"/>
    <w:rsid w:val="00CD55AC"/>
    <w:rsid w:val="00CD66BC"/>
    <w:rsid w:val="00CD7369"/>
    <w:rsid w:val="00CE0740"/>
    <w:rsid w:val="00CE0B0E"/>
    <w:rsid w:val="00CE3831"/>
    <w:rsid w:val="00D00ABB"/>
    <w:rsid w:val="00D02EEC"/>
    <w:rsid w:val="00D0336A"/>
    <w:rsid w:val="00D03551"/>
    <w:rsid w:val="00D06A63"/>
    <w:rsid w:val="00D07E0E"/>
    <w:rsid w:val="00D11478"/>
    <w:rsid w:val="00D115E8"/>
    <w:rsid w:val="00D132DB"/>
    <w:rsid w:val="00D15ED0"/>
    <w:rsid w:val="00D21B3E"/>
    <w:rsid w:val="00D21FED"/>
    <w:rsid w:val="00D2398F"/>
    <w:rsid w:val="00D24251"/>
    <w:rsid w:val="00D250D7"/>
    <w:rsid w:val="00D32596"/>
    <w:rsid w:val="00D343E2"/>
    <w:rsid w:val="00D361A2"/>
    <w:rsid w:val="00D36BDB"/>
    <w:rsid w:val="00D37C1F"/>
    <w:rsid w:val="00D42AFF"/>
    <w:rsid w:val="00D44C2E"/>
    <w:rsid w:val="00D45414"/>
    <w:rsid w:val="00D566BD"/>
    <w:rsid w:val="00D576CF"/>
    <w:rsid w:val="00D57A4D"/>
    <w:rsid w:val="00D609D6"/>
    <w:rsid w:val="00D60AA7"/>
    <w:rsid w:val="00D6435F"/>
    <w:rsid w:val="00D73B16"/>
    <w:rsid w:val="00D75E28"/>
    <w:rsid w:val="00D772C2"/>
    <w:rsid w:val="00D8008E"/>
    <w:rsid w:val="00D82C45"/>
    <w:rsid w:val="00D84B7D"/>
    <w:rsid w:val="00D84CCD"/>
    <w:rsid w:val="00D9085B"/>
    <w:rsid w:val="00D908A8"/>
    <w:rsid w:val="00D964A9"/>
    <w:rsid w:val="00D977B6"/>
    <w:rsid w:val="00DA2E43"/>
    <w:rsid w:val="00DA4A31"/>
    <w:rsid w:val="00DA7B04"/>
    <w:rsid w:val="00DB36C2"/>
    <w:rsid w:val="00DB5F24"/>
    <w:rsid w:val="00DB7EB1"/>
    <w:rsid w:val="00DC169B"/>
    <w:rsid w:val="00DC1A26"/>
    <w:rsid w:val="00DC2AB9"/>
    <w:rsid w:val="00DC63F0"/>
    <w:rsid w:val="00DD4AAB"/>
    <w:rsid w:val="00DD5146"/>
    <w:rsid w:val="00DD6EE5"/>
    <w:rsid w:val="00DE386C"/>
    <w:rsid w:val="00DE4D35"/>
    <w:rsid w:val="00DF098B"/>
    <w:rsid w:val="00DF11C4"/>
    <w:rsid w:val="00DF210C"/>
    <w:rsid w:val="00DF4B6A"/>
    <w:rsid w:val="00DF7AC1"/>
    <w:rsid w:val="00E000E8"/>
    <w:rsid w:val="00E01E65"/>
    <w:rsid w:val="00E02C09"/>
    <w:rsid w:val="00E04D59"/>
    <w:rsid w:val="00E06A70"/>
    <w:rsid w:val="00E07DA1"/>
    <w:rsid w:val="00E123CB"/>
    <w:rsid w:val="00E20E13"/>
    <w:rsid w:val="00E21DBC"/>
    <w:rsid w:val="00E275D7"/>
    <w:rsid w:val="00E27DBE"/>
    <w:rsid w:val="00E32AB1"/>
    <w:rsid w:val="00E351FD"/>
    <w:rsid w:val="00E36C71"/>
    <w:rsid w:val="00E40404"/>
    <w:rsid w:val="00E40595"/>
    <w:rsid w:val="00E4529A"/>
    <w:rsid w:val="00E459C6"/>
    <w:rsid w:val="00E47589"/>
    <w:rsid w:val="00E50E2E"/>
    <w:rsid w:val="00E64915"/>
    <w:rsid w:val="00E661D4"/>
    <w:rsid w:val="00E66B5D"/>
    <w:rsid w:val="00E70091"/>
    <w:rsid w:val="00E720F5"/>
    <w:rsid w:val="00E7324C"/>
    <w:rsid w:val="00E76D47"/>
    <w:rsid w:val="00E77CB3"/>
    <w:rsid w:val="00E83249"/>
    <w:rsid w:val="00E849F7"/>
    <w:rsid w:val="00E90302"/>
    <w:rsid w:val="00E95088"/>
    <w:rsid w:val="00E95EE7"/>
    <w:rsid w:val="00E97396"/>
    <w:rsid w:val="00EA185E"/>
    <w:rsid w:val="00EA592A"/>
    <w:rsid w:val="00EB14E4"/>
    <w:rsid w:val="00EB2499"/>
    <w:rsid w:val="00EB32A5"/>
    <w:rsid w:val="00EB34ED"/>
    <w:rsid w:val="00EB773E"/>
    <w:rsid w:val="00EB7BE0"/>
    <w:rsid w:val="00EB7E63"/>
    <w:rsid w:val="00EC0F85"/>
    <w:rsid w:val="00EC315E"/>
    <w:rsid w:val="00ED077C"/>
    <w:rsid w:val="00ED1190"/>
    <w:rsid w:val="00ED410D"/>
    <w:rsid w:val="00ED6544"/>
    <w:rsid w:val="00EE0277"/>
    <w:rsid w:val="00EE2D44"/>
    <w:rsid w:val="00EE3473"/>
    <w:rsid w:val="00EE3E00"/>
    <w:rsid w:val="00EE5DD2"/>
    <w:rsid w:val="00EF1109"/>
    <w:rsid w:val="00EF63C2"/>
    <w:rsid w:val="00F00A79"/>
    <w:rsid w:val="00F00E86"/>
    <w:rsid w:val="00F07C1E"/>
    <w:rsid w:val="00F105DB"/>
    <w:rsid w:val="00F12FC5"/>
    <w:rsid w:val="00F132BC"/>
    <w:rsid w:val="00F13D80"/>
    <w:rsid w:val="00F16AAA"/>
    <w:rsid w:val="00F20808"/>
    <w:rsid w:val="00F21161"/>
    <w:rsid w:val="00F218EF"/>
    <w:rsid w:val="00F21BC7"/>
    <w:rsid w:val="00F254E9"/>
    <w:rsid w:val="00F266A2"/>
    <w:rsid w:val="00F32269"/>
    <w:rsid w:val="00F32B22"/>
    <w:rsid w:val="00F44E86"/>
    <w:rsid w:val="00F45B72"/>
    <w:rsid w:val="00F479E0"/>
    <w:rsid w:val="00F56A6F"/>
    <w:rsid w:val="00F5709C"/>
    <w:rsid w:val="00F64EF1"/>
    <w:rsid w:val="00F813A4"/>
    <w:rsid w:val="00F8765F"/>
    <w:rsid w:val="00F87AF9"/>
    <w:rsid w:val="00F90767"/>
    <w:rsid w:val="00F94041"/>
    <w:rsid w:val="00FA09AD"/>
    <w:rsid w:val="00FA685B"/>
    <w:rsid w:val="00FB0B62"/>
    <w:rsid w:val="00FB0C01"/>
    <w:rsid w:val="00FB0CCF"/>
    <w:rsid w:val="00FC18F2"/>
    <w:rsid w:val="00FC39E5"/>
    <w:rsid w:val="00FC3A78"/>
    <w:rsid w:val="00FD1005"/>
    <w:rsid w:val="00FD6C75"/>
    <w:rsid w:val="00FD7752"/>
    <w:rsid w:val="00FE71B3"/>
    <w:rsid w:val="00FE74C8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45B72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45B7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45B7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45B7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45B7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45B7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45B7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45B72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45B7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45B7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45B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B72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45B72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45B72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F45B72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F45B72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45B72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45B72"/>
    <w:rPr>
      <w:rFonts w:eastAsiaTheme="minorEastAsia"/>
      <w:sz w:val="24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45B7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e"/>
    <w:uiPriority w:val="5"/>
    <w:qFormat/>
    <w:rsid w:val="00F45B72"/>
    <w:pPr>
      <w:numPr>
        <w:numId w:val="17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F45B72"/>
  </w:style>
  <w:style w:type="paragraph" w:customStyle="1" w:styleId="JuParaSub">
    <w:name w:val="Ju_Para_Sub"/>
    <w:basedOn w:val="ECHRPara"/>
    <w:uiPriority w:val="13"/>
    <w:qFormat/>
    <w:rsid w:val="00F45B72"/>
    <w:pPr>
      <w:ind w:left="284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45B72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45B72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semiHidden/>
    <w:qFormat/>
    <w:rsid w:val="00F45B72"/>
  </w:style>
  <w:style w:type="paragraph" w:customStyle="1" w:styleId="OpiQuot">
    <w:name w:val="Opi_Quot"/>
    <w:basedOn w:val="ECHRParaQuote"/>
    <w:uiPriority w:val="48"/>
    <w:semiHidden/>
    <w:qFormat/>
    <w:rsid w:val="00F45B72"/>
  </w:style>
  <w:style w:type="paragraph" w:customStyle="1" w:styleId="OpiQuotSub">
    <w:name w:val="Opi_Quot_Sub"/>
    <w:basedOn w:val="JuQuotSub"/>
    <w:uiPriority w:val="49"/>
    <w:semiHidden/>
    <w:qFormat/>
    <w:rsid w:val="00F45B72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45B72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e"/>
    <w:next w:val="ECHRPara"/>
    <w:uiPriority w:val="3"/>
    <w:qFormat/>
    <w:rsid w:val="00F45B72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45B7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45B7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45B72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45B72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45B72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45B72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45B72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F45B72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F45B72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F45B72"/>
    <w:pPr>
      <w:tabs>
        <w:tab w:val="clear" w:pos="357"/>
      </w:tabs>
      <w:outlineLvl w:val="1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F45B72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45B7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45B72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Titolo1"/>
    <w:next w:val="ECHRPara"/>
    <w:link w:val="JuHIRomanChar"/>
    <w:uiPriority w:val="19"/>
    <w:qFormat/>
    <w:rsid w:val="00F45B72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,Head_2"/>
    <w:basedOn w:val="Titolo2"/>
    <w:next w:val="ECHRPara"/>
    <w:uiPriority w:val="20"/>
    <w:qFormat/>
    <w:rsid w:val="00F45B72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45B72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F45B72"/>
    <w:rPr>
      <w:caps w:val="0"/>
      <w:smallCaps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45B72"/>
    <w:pPr>
      <w:tabs>
        <w:tab w:val="left" w:pos="567"/>
        <w:tab w:val="left" w:pos="1134"/>
      </w:tabs>
      <w:jc w:val="left"/>
    </w:p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45B72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45B72"/>
    <w:pPr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45B72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45B72"/>
    <w:rPr>
      <w:rFonts w:asciiTheme="majorHAnsi" w:eastAsiaTheme="majorEastAsia" w:hAnsiTheme="majorHAnsi" w:cstheme="majorBidi"/>
      <w:b/>
      <w:bCs/>
      <w:color w:val="808080"/>
      <w:sz w:val="24"/>
    </w:rPr>
  </w:style>
  <w:style w:type="character" w:styleId="Enfasidelicata">
    <w:name w:val="Subtle Emphasis"/>
    <w:uiPriority w:val="99"/>
    <w:semiHidden/>
    <w:qFormat/>
    <w:rsid w:val="00F45B72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,Title_L_1"/>
    <w:basedOn w:val="Normale"/>
    <w:next w:val="ECHRPara"/>
    <w:uiPriority w:val="18"/>
    <w:qFormat/>
    <w:rsid w:val="00F45B72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nfasicorsivo">
    <w:name w:val="Emphasis"/>
    <w:uiPriority w:val="99"/>
    <w:semiHidden/>
    <w:qFormat/>
    <w:rsid w:val="00F45B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45B72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45B72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45B7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45B7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5B72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45B7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45B72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45B7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45B7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45B72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45B7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45B7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45B72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F45B72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45B72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45B72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45B72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F45B72"/>
    <w:rPr>
      <w:smallCaps/>
    </w:rPr>
  </w:style>
  <w:style w:type="table" w:styleId="Grigliatabella">
    <w:name w:val="Table Grid"/>
    <w:basedOn w:val="Tabellanormale"/>
    <w:uiPriority w:val="59"/>
    <w:rsid w:val="00F45B7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45B72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F45B72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F45B72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F45B72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F45B72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F45B72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45B72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,Para_Quote"/>
    <w:basedOn w:val="Normale"/>
    <w:uiPriority w:val="14"/>
    <w:qFormat/>
    <w:rsid w:val="00F45B72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45B72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e"/>
    <w:next w:val="JuParaLast"/>
    <w:uiPriority w:val="32"/>
    <w:qFormat/>
    <w:rsid w:val="00F45B7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e"/>
    <w:next w:val="ECHRPara"/>
    <w:uiPriority w:val="30"/>
    <w:qFormat/>
    <w:rsid w:val="00F45B72"/>
    <w:pPr>
      <w:keepNext/>
      <w:keepLines/>
      <w:spacing w:before="240"/>
      <w:ind w:firstLine="284"/>
    </w:pPr>
  </w:style>
  <w:style w:type="paragraph" w:customStyle="1" w:styleId="JuCase">
    <w:name w:val="Ju_Case"/>
    <w:basedOn w:val="Normale"/>
    <w:next w:val="ECHRPara"/>
    <w:uiPriority w:val="10"/>
    <w:rsid w:val="00F45B72"/>
    <w:pPr>
      <w:ind w:firstLine="284"/>
    </w:pPr>
    <w:rPr>
      <w:b/>
    </w:rPr>
  </w:style>
  <w:style w:type="paragraph" w:customStyle="1" w:styleId="JuList">
    <w:name w:val="Ju_List"/>
    <w:basedOn w:val="Normale"/>
    <w:uiPriority w:val="28"/>
    <w:qFormat/>
    <w:rsid w:val="00F45B72"/>
    <w:pPr>
      <w:ind w:left="340" w:hanging="340"/>
    </w:pPr>
  </w:style>
  <w:style w:type="character" w:customStyle="1" w:styleId="JuITMark">
    <w:name w:val="Ju_ITMark"/>
    <w:basedOn w:val="Carpredefinitoparagrafo"/>
    <w:uiPriority w:val="38"/>
    <w:qFormat/>
    <w:rsid w:val="00F45B72"/>
    <w:rPr>
      <w:vanish w:val="0"/>
      <w:color w:val="auto"/>
      <w:sz w:val="14"/>
    </w:rPr>
  </w:style>
  <w:style w:type="character" w:styleId="Numeropagina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F45B72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F45B72"/>
    <w:pPr>
      <w:ind w:left="794"/>
    </w:pPr>
  </w:style>
  <w:style w:type="character" w:styleId="Rimandocommento">
    <w:name w:val="annotation reference"/>
    <w:uiPriority w:val="99"/>
    <w:semiHidden/>
    <w:rsid w:val="00E77CB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7CB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CB3"/>
    <w:rPr>
      <w:rFonts w:eastAsiaTheme="minorEastAsia"/>
      <w:sz w:val="20"/>
    </w:rPr>
  </w:style>
  <w:style w:type="character" w:styleId="Rimandonotadichiusura">
    <w:name w:val="endnote reference"/>
    <w:uiPriority w:val="99"/>
    <w:semiHidden/>
    <w:rsid w:val="00E77CB3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77CB3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7CB3"/>
    <w:rPr>
      <w:rFonts w:eastAsiaTheme="minorEastAsia"/>
      <w:sz w:val="20"/>
    </w:rPr>
  </w:style>
  <w:style w:type="character" w:styleId="Collegamentovisitato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Puntoelenco">
    <w:name w:val="List Bullet"/>
    <w:basedOn w:val="Normale"/>
    <w:uiPriority w:val="99"/>
    <w:semiHidden/>
    <w:rsid w:val="00E77CB3"/>
    <w:pPr>
      <w:numPr>
        <w:numId w:val="1"/>
      </w:numPr>
    </w:p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F45B72"/>
    <w:pPr>
      <w:jc w:val="center"/>
      <w:outlineLvl w:val="0"/>
    </w:pPr>
    <w:rPr>
      <w:i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7C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7CB3"/>
    <w:rPr>
      <w:rFonts w:eastAsiaTheme="minorEastAsia"/>
      <w:b/>
      <w:bCs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DecHTitle">
    <w:name w:val="Dec_H_Title"/>
    <w:basedOn w:val="ECHRTitleCentre1"/>
    <w:uiPriority w:val="7"/>
    <w:qFormat/>
    <w:rsid w:val="00F45B72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45B7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45B72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essunelenco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rsid w:val="00E77CB3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rsid w:val="00E77CB3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9"/>
    <w:semiHidden/>
    <w:unhideWhenUsed/>
    <w:rsid w:val="00E77CB3"/>
  </w:style>
  <w:style w:type="paragraph" w:styleId="Testodelblocco">
    <w:name w:val="Block Text"/>
    <w:basedOn w:val="Normale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E77C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7CB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E77C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7CB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E77CB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77CB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77C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7CB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E77CB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77CB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E77CB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77CB3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E77CB3"/>
  </w:style>
  <w:style w:type="character" w:customStyle="1" w:styleId="DataCarattere">
    <w:name w:val="Data Carattere"/>
    <w:basedOn w:val="Carpredefinitoparagrafo"/>
    <w:link w:val="Data"/>
    <w:uiPriority w:val="99"/>
    <w:semiHidden/>
    <w:rsid w:val="00E77CB3"/>
    <w:rPr>
      <w:rFonts w:eastAsiaTheme="minorEastAsia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E77CB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77CB3"/>
    <w:rPr>
      <w:rFonts w:eastAsiaTheme="minorEastAsia"/>
      <w:sz w:val="24"/>
    </w:rPr>
  </w:style>
  <w:style w:type="paragraph" w:styleId="Indirizzodestinatario">
    <w:name w:val="envelope address"/>
    <w:basedOn w:val="Normale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rsid w:val="00E77CB3"/>
  </w:style>
  <w:style w:type="paragraph" w:styleId="IndirizzoHTML">
    <w:name w:val="HTML Address"/>
    <w:basedOn w:val="Normale"/>
    <w:link w:val="IndirizzoHTMLCarattere"/>
    <w:uiPriority w:val="99"/>
    <w:semiHidden/>
    <w:rsid w:val="00E77CB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77CB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E77CB3"/>
    <w:rPr>
      <w:i/>
      <w:iCs/>
    </w:rPr>
  </w:style>
  <w:style w:type="character" w:styleId="CodiceHTML">
    <w:name w:val="HTML Code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E77CB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E77CB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E77CB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E77CB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E77CB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E77CB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E77CB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E77CB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E77CB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E77CB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E77CB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E77CB3"/>
  </w:style>
  <w:style w:type="paragraph" w:styleId="Elenco">
    <w:name w:val="List"/>
    <w:basedOn w:val="Normale"/>
    <w:uiPriority w:val="99"/>
    <w:semiHidden/>
    <w:rsid w:val="00E77CB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E77CB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E77CB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E77CB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E77CB3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rsid w:val="00E77CB3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rsid w:val="00E77CB3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E77CB3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E77CB3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E77CB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E77CB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E77CB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E77CB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E77CB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E77CB3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E77CB3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E77CB3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E77CB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E77CB3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E77CB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E77CB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77CB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E77CB3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E77CB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77CB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E77CB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77CB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E77CB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E77CB3"/>
  </w:style>
  <w:style w:type="table" w:styleId="Tabellaprofessionale">
    <w:name w:val="Table Professional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E77CB3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E77CB3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E77CB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E77CB3"/>
    <w:pPr>
      <w:spacing w:after="100"/>
      <w:ind w:left="1920"/>
    </w:pPr>
  </w:style>
  <w:style w:type="character" w:customStyle="1" w:styleId="ECHRParaChar">
    <w:name w:val="ECHR_Para Char"/>
    <w:aliases w:val="Ju_Para Char"/>
    <w:basedOn w:val="Carpredefinitoparagrafo"/>
    <w:link w:val="ECHRPara"/>
    <w:uiPriority w:val="12"/>
    <w:rsid w:val="00E000E8"/>
    <w:rPr>
      <w:rFonts w:eastAsiaTheme="minorEastAsia"/>
      <w:sz w:val="24"/>
    </w:rPr>
  </w:style>
  <w:style w:type="paragraph" w:customStyle="1" w:styleId="JuCourt">
    <w:name w:val="Ju_Court"/>
    <w:basedOn w:val="Normale"/>
    <w:next w:val="Normale"/>
    <w:uiPriority w:val="16"/>
    <w:qFormat/>
    <w:rsid w:val="00F45B72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customStyle="1" w:styleId="JuHIRomanChar">
    <w:name w:val="Ju_H_I_Roman Char"/>
    <w:link w:val="ECHRHeading1"/>
    <w:uiPriority w:val="19"/>
    <w:rsid w:val="00440876"/>
    <w:rPr>
      <w:rFonts w:asciiTheme="majorHAnsi" w:eastAsiaTheme="majorEastAsia" w:hAnsiTheme="majorHAnsi" w:cstheme="majorBidi"/>
      <w:bCs/>
      <w:sz w:val="24"/>
      <w:szCs w:val="28"/>
    </w:rPr>
  </w:style>
  <w:style w:type="paragraph" w:customStyle="1" w:styleId="DecList">
    <w:name w:val="Dec_List"/>
    <w:basedOn w:val="Normale"/>
    <w:uiPriority w:val="9"/>
    <w:qFormat/>
    <w:rsid w:val="00F45B72"/>
    <w:pPr>
      <w:spacing w:before="240"/>
      <w:ind w:left="284"/>
    </w:pPr>
  </w:style>
  <w:style w:type="paragraph" w:customStyle="1" w:styleId="OpiH1">
    <w:name w:val="Opi_H_1"/>
    <w:basedOn w:val="ECHRHeading2"/>
    <w:uiPriority w:val="42"/>
    <w:semiHidden/>
    <w:qFormat/>
    <w:rsid w:val="00F45B72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F45B72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F45B72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45B72"/>
    <w:rPr>
      <w:color w:val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F6A0-2AD6-4014-9CE4-F0605D88A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94F0F-BAD6-40BC-B0C7-6DEC9D045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3AD1A-9AC2-4AF3-A4C5-3754ECC249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C2D43-4F77-4943-B64C-FA9B770C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lastModifiedBy/>
  <cp:revision>1</cp:revision>
  <dcterms:created xsi:type="dcterms:W3CDTF">2015-10-22T13:40:00Z</dcterms:created>
  <dcterms:modified xsi:type="dcterms:W3CDTF">2015-10-22T13:40:00Z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